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151" w:rsidRDefault="0053460B">
      <w:pPr>
        <w:pStyle w:val="Kopf"/>
      </w:pPr>
      <w:r>
        <w:t xml:space="preserve"> </w:t>
      </w:r>
    </w:p>
    <w:p w:rsidR="00E03151" w:rsidRPr="003C7A70" w:rsidRDefault="00E03151" w:rsidP="003C7A70">
      <w:pPr>
        <w:pStyle w:val="Kopf"/>
        <w:spacing w:line="360" w:lineRule="exact"/>
        <w:rPr>
          <w:sz w:val="26"/>
          <w:szCs w:val="26"/>
        </w:rPr>
      </w:pPr>
    </w:p>
    <w:p w:rsidR="00E03151" w:rsidRPr="003C7A70" w:rsidRDefault="00E03151" w:rsidP="003C7A70">
      <w:pPr>
        <w:pStyle w:val="Kopf"/>
        <w:spacing w:line="360" w:lineRule="exact"/>
        <w:rPr>
          <w:sz w:val="26"/>
          <w:szCs w:val="26"/>
          <w:lang w:val="de-AT"/>
        </w:rPr>
      </w:pPr>
    </w:p>
    <w:p w:rsidR="00D8203B" w:rsidRPr="00C8763F" w:rsidRDefault="00C8763F" w:rsidP="00C8763F">
      <w:pPr>
        <w:pStyle w:val="Beilagen"/>
        <w:spacing w:line="480" w:lineRule="auto"/>
        <w:rPr>
          <w:rFonts w:ascii="Arial Narrow" w:hAnsi="Arial Narrow"/>
          <w:b/>
          <w:bCs/>
          <w:color w:val="C0C0C0"/>
          <w:sz w:val="80"/>
          <w:szCs w:val="80"/>
        </w:rPr>
      </w:pPr>
      <w:r w:rsidRPr="00C8763F">
        <w:rPr>
          <w:rFonts w:ascii="Arial Narrow" w:hAnsi="Arial Narrow"/>
          <w:b/>
          <w:bCs/>
          <w:color w:val="C0C0C0"/>
          <w:sz w:val="80"/>
          <w:szCs w:val="80"/>
        </w:rPr>
        <w:t>Presseinformation</w:t>
      </w:r>
    </w:p>
    <w:p w:rsidR="00C8763F" w:rsidRPr="00C743FB" w:rsidRDefault="0042462B" w:rsidP="00C8763F">
      <w:pPr>
        <w:rPr>
          <w:rFonts w:ascii="Arial" w:hAnsi="Arial" w:cs="Arial"/>
          <w:noProof/>
          <w:sz w:val="20"/>
          <w:lang w:val="de-DE"/>
        </w:rPr>
      </w:pPr>
      <w:r>
        <w:rPr>
          <w:rFonts w:ascii="Arial" w:hAnsi="Arial" w:cs="Arial"/>
          <w:noProof/>
          <w:sz w:val="20"/>
          <w:lang w:val="de-DE"/>
        </w:rPr>
        <w:t xml:space="preserve">Wien, </w:t>
      </w:r>
      <w:r w:rsidR="001771DC">
        <w:rPr>
          <w:rFonts w:ascii="Arial" w:hAnsi="Arial" w:cs="Arial"/>
          <w:noProof/>
          <w:sz w:val="20"/>
          <w:lang w:val="de-DE"/>
        </w:rPr>
        <w:t>28. November 2011</w:t>
      </w:r>
    </w:p>
    <w:p w:rsidR="00C8763F" w:rsidRPr="00C743FB" w:rsidRDefault="00C8763F" w:rsidP="00C8763F">
      <w:pPr>
        <w:rPr>
          <w:rFonts w:ascii="Arial" w:hAnsi="Arial" w:cs="Arial"/>
          <w:noProof/>
          <w:sz w:val="20"/>
          <w:lang w:val="de-DE"/>
        </w:rPr>
      </w:pPr>
    </w:p>
    <w:p w:rsidR="001771DC" w:rsidRPr="001771DC" w:rsidRDefault="001771DC" w:rsidP="001771DC">
      <w:pPr>
        <w:pStyle w:val="CMSIndent2"/>
        <w:spacing w:after="0" w:line="240" w:lineRule="auto"/>
        <w:ind w:left="0"/>
        <w:jc w:val="both"/>
        <w:rPr>
          <w:rFonts w:ascii="Arial" w:hAnsi="Arial" w:cs="Arial"/>
          <w:b/>
          <w:noProof/>
          <w:sz w:val="20"/>
          <w:szCs w:val="20"/>
        </w:rPr>
      </w:pPr>
      <w:r w:rsidRPr="001771DC">
        <w:rPr>
          <w:rFonts w:ascii="Arial" w:hAnsi="Arial" w:cs="Arial"/>
          <w:b/>
          <w:noProof/>
          <w:sz w:val="20"/>
          <w:szCs w:val="20"/>
        </w:rPr>
        <w:t>CMS Real Estate Deal Point Study 2011: Markterholung bei Immobilien-Transaktionen</w:t>
      </w:r>
    </w:p>
    <w:p w:rsidR="001771DC" w:rsidRPr="001771DC" w:rsidRDefault="001771DC" w:rsidP="001771DC">
      <w:pPr>
        <w:pStyle w:val="CMSIndent2"/>
        <w:spacing w:after="0" w:line="240" w:lineRule="auto"/>
        <w:ind w:left="0"/>
        <w:rPr>
          <w:rFonts w:ascii="Arial" w:hAnsi="Arial" w:cs="Arial"/>
          <w:noProof/>
          <w:sz w:val="20"/>
          <w:szCs w:val="20"/>
        </w:rPr>
      </w:pPr>
      <w:r w:rsidRPr="001771DC">
        <w:rPr>
          <w:rFonts w:ascii="Arial" w:hAnsi="Arial" w:cs="Arial"/>
          <w:b/>
          <w:noProof/>
          <w:sz w:val="20"/>
          <w:szCs w:val="20"/>
        </w:rPr>
        <w:t xml:space="preserve">Stuttgart / Wien – Im Jahre 2010 hat sich der Markt für Immobilientransaktionen erholt. Die Anzahl der Immobilientransaktionen  und die Transaktionsvolumina haben erheblich zugenommen. Auch die Vertragsbedingungen spiegeln die erholten Marktbedingungen wider. Das sind die Ergebnisse der CMS Real Estate Deal Point Study 2011. </w:t>
      </w:r>
      <w:r w:rsidRPr="001771DC">
        <w:rPr>
          <w:rFonts w:ascii="Arial" w:hAnsi="Arial" w:cs="Arial"/>
          <w:noProof/>
          <w:sz w:val="20"/>
          <w:szCs w:val="20"/>
        </w:rPr>
        <w:t xml:space="preserve"> </w:t>
      </w:r>
    </w:p>
    <w:p w:rsidR="001771DC" w:rsidRPr="001771DC" w:rsidRDefault="001771DC" w:rsidP="001771DC">
      <w:pPr>
        <w:pStyle w:val="CMSIndent2"/>
        <w:spacing w:after="0" w:line="240" w:lineRule="auto"/>
        <w:ind w:left="0"/>
        <w:rPr>
          <w:rFonts w:ascii="Arial" w:hAnsi="Arial" w:cs="Arial"/>
          <w:noProof/>
          <w:sz w:val="20"/>
          <w:szCs w:val="20"/>
        </w:rPr>
      </w:pPr>
      <w:r w:rsidRPr="001771DC">
        <w:rPr>
          <w:rFonts w:ascii="Arial" w:hAnsi="Arial" w:cs="Arial"/>
          <w:noProof/>
          <w:sz w:val="20"/>
          <w:szCs w:val="20"/>
        </w:rPr>
        <w:t>Zur Auswertung kamen 245 Deals aus Deutschland, Österreich, Polen, Kroatien und Bulgarien im Zeitraum von Anfang des Jahres 2007 bis Mitte 2011, bei denen CMS auf der Seite der Ve</w:t>
      </w:r>
      <w:r w:rsidRPr="001771DC">
        <w:rPr>
          <w:rFonts w:ascii="Arial" w:hAnsi="Arial" w:cs="Arial"/>
          <w:noProof/>
          <w:sz w:val="20"/>
          <w:szCs w:val="20"/>
        </w:rPr>
        <w:t>r</w:t>
      </w:r>
      <w:r w:rsidRPr="001771DC">
        <w:rPr>
          <w:rFonts w:ascii="Arial" w:hAnsi="Arial" w:cs="Arial"/>
          <w:noProof/>
          <w:sz w:val="20"/>
          <w:szCs w:val="20"/>
        </w:rPr>
        <w:t xml:space="preserve">käufer, der Käufer oder der Finanzierungspartner beraten hatte. </w:t>
      </w:r>
    </w:p>
    <w:p w:rsidR="001771DC" w:rsidRPr="001771DC" w:rsidRDefault="001771DC" w:rsidP="001771DC">
      <w:pPr>
        <w:pStyle w:val="CMSIndent2"/>
        <w:spacing w:after="0" w:line="240" w:lineRule="auto"/>
        <w:ind w:left="0"/>
        <w:rPr>
          <w:rFonts w:ascii="Arial" w:hAnsi="Arial" w:cs="Arial"/>
          <w:noProof/>
          <w:sz w:val="20"/>
          <w:szCs w:val="20"/>
        </w:rPr>
      </w:pPr>
      <w:r w:rsidRPr="001771DC">
        <w:rPr>
          <w:rFonts w:ascii="Arial" w:hAnsi="Arial" w:cs="Arial"/>
          <w:noProof/>
          <w:sz w:val="20"/>
          <w:szCs w:val="20"/>
        </w:rPr>
        <w:t>"Die Studie dokumentiert das Verhalten von strategischen Käufern und Verkäufern, Finanzi</w:t>
      </w:r>
      <w:r w:rsidRPr="001771DC">
        <w:rPr>
          <w:rFonts w:ascii="Arial" w:hAnsi="Arial" w:cs="Arial"/>
          <w:noProof/>
          <w:sz w:val="20"/>
          <w:szCs w:val="20"/>
        </w:rPr>
        <w:t>n</w:t>
      </w:r>
      <w:r w:rsidRPr="001771DC">
        <w:rPr>
          <w:rFonts w:ascii="Arial" w:hAnsi="Arial" w:cs="Arial"/>
          <w:noProof/>
          <w:sz w:val="20"/>
          <w:szCs w:val="20"/>
        </w:rPr>
        <w:t>vestoren und privaten Anlegern im Hinblick auf die Häufigkeit bestimmter Vertragskonditionen", erklärt Dr. Gregor Famira, Partner und Leiter des Bereichs Real Estate CEE bei CMS Reich-Rohrwig Hainz in Wien. "Die Ergebnisse der Studie geben den Beteiligten einer Transaktion konkrete Anhaltspunkte für Verhandlungen und Vertragsgestaltungen."</w:t>
      </w:r>
    </w:p>
    <w:p w:rsidR="001771DC" w:rsidRPr="001771DC" w:rsidRDefault="001771DC" w:rsidP="001771DC">
      <w:pPr>
        <w:pStyle w:val="CMSIndent2"/>
        <w:spacing w:after="0" w:line="240" w:lineRule="auto"/>
        <w:ind w:left="0"/>
        <w:rPr>
          <w:rFonts w:ascii="Arial" w:hAnsi="Arial" w:cs="Arial"/>
          <w:noProof/>
          <w:sz w:val="20"/>
          <w:szCs w:val="20"/>
        </w:rPr>
      </w:pPr>
      <w:r w:rsidRPr="001771DC">
        <w:rPr>
          <w:rFonts w:ascii="Arial" w:hAnsi="Arial" w:cs="Arial"/>
          <w:b/>
          <w:noProof/>
          <w:sz w:val="20"/>
          <w:szCs w:val="20"/>
        </w:rPr>
        <w:t>Transaktionsvolumina gestiegen</w:t>
      </w:r>
      <w:r w:rsidRPr="001771DC">
        <w:rPr>
          <w:rFonts w:ascii="Arial" w:hAnsi="Arial" w:cs="Arial"/>
          <w:noProof/>
          <w:sz w:val="20"/>
          <w:szCs w:val="20"/>
        </w:rPr>
        <w:br/>
        <w:t xml:space="preserve">Die Auswertung der Transaktionen zeigt für 2010 eine starke Zunahme der Vertragsvolumina, nachdem diese in den Vorjahren erheblich gesunken waren. So lag der Anteil der Transaktionen mit einem </w:t>
      </w:r>
      <w:r w:rsidRPr="001771DC">
        <w:rPr>
          <w:rFonts w:ascii="Arial" w:hAnsi="Arial" w:cs="Arial"/>
          <w:b/>
          <w:noProof/>
          <w:sz w:val="20"/>
          <w:szCs w:val="20"/>
        </w:rPr>
        <w:t>Volumen von mehr als 50 Millionen Euro</w:t>
      </w:r>
      <w:r w:rsidRPr="001771DC">
        <w:rPr>
          <w:rFonts w:ascii="Arial" w:hAnsi="Arial" w:cs="Arial"/>
          <w:noProof/>
          <w:sz w:val="20"/>
          <w:szCs w:val="20"/>
        </w:rPr>
        <w:t xml:space="preserve"> im ersten Halbjahr 2010 bei 60 Pr</w:t>
      </w:r>
      <w:r w:rsidRPr="001771DC">
        <w:rPr>
          <w:rFonts w:ascii="Arial" w:hAnsi="Arial" w:cs="Arial"/>
          <w:noProof/>
          <w:sz w:val="20"/>
          <w:szCs w:val="20"/>
        </w:rPr>
        <w:t>o</w:t>
      </w:r>
      <w:r w:rsidRPr="001771DC">
        <w:rPr>
          <w:rFonts w:ascii="Arial" w:hAnsi="Arial" w:cs="Arial"/>
          <w:noProof/>
          <w:sz w:val="20"/>
          <w:szCs w:val="20"/>
        </w:rPr>
        <w:t xml:space="preserve">zent und damit um mehr als das Vierfache über dem Wert des Vorhalbjahres  (14 Prozent). Seither ist der Anteil der Transaktionen mit einem Volumen von mehr als 50 Millionen Euro zwar wieder zurückgegangen (auf 38 Prozent im zweiten Halbjahr 2010 und auf 24 Prozent im ersten Halbjahr 2011), gleichzeitig ist aber der Anteil der Transaktionen mit einem </w:t>
      </w:r>
      <w:r w:rsidRPr="001771DC">
        <w:rPr>
          <w:rFonts w:ascii="Arial" w:hAnsi="Arial" w:cs="Arial"/>
          <w:b/>
          <w:noProof/>
          <w:sz w:val="20"/>
          <w:szCs w:val="20"/>
        </w:rPr>
        <w:t>Volumen zwischen 25 und 50 Millionen Euro</w:t>
      </w:r>
      <w:r w:rsidRPr="001771DC">
        <w:rPr>
          <w:rFonts w:ascii="Arial" w:hAnsi="Arial" w:cs="Arial"/>
          <w:noProof/>
          <w:sz w:val="20"/>
          <w:szCs w:val="20"/>
        </w:rPr>
        <w:t xml:space="preserve"> um rund  20 Prozent gestiegen. </w:t>
      </w:r>
    </w:p>
    <w:p w:rsidR="001771DC" w:rsidRPr="001771DC" w:rsidRDefault="001771DC" w:rsidP="001771DC">
      <w:pPr>
        <w:pStyle w:val="CMSIndent2"/>
        <w:spacing w:after="0" w:line="240" w:lineRule="auto"/>
        <w:ind w:left="0"/>
        <w:rPr>
          <w:rFonts w:ascii="Arial" w:hAnsi="Arial" w:cs="Arial"/>
          <w:noProof/>
          <w:sz w:val="20"/>
          <w:szCs w:val="20"/>
        </w:rPr>
      </w:pPr>
      <w:r w:rsidRPr="001771DC">
        <w:rPr>
          <w:rFonts w:ascii="Arial" w:hAnsi="Arial" w:cs="Arial"/>
          <w:b/>
          <w:noProof/>
          <w:sz w:val="20"/>
          <w:szCs w:val="20"/>
        </w:rPr>
        <w:t>Portofolio-Transaktionen und Anteil der Retail-Transaktionen gestiegen</w:t>
      </w:r>
      <w:r w:rsidRPr="001771DC">
        <w:rPr>
          <w:rFonts w:ascii="Arial" w:hAnsi="Arial" w:cs="Arial"/>
          <w:noProof/>
          <w:sz w:val="20"/>
          <w:szCs w:val="20"/>
        </w:rPr>
        <w:br/>
        <w:t xml:space="preserve">Im Vergleich zu Anfang 2008 ist der Anteil der Portfoliotransaktionen stark angestiegen, und zwar von von13 Prozent im Jahre 2008 auf 46 Prozent im Jahr 2010. Im ersten Halbjahr 2011 lag dieser Anteil bei 27 Prozent. </w:t>
      </w:r>
    </w:p>
    <w:p w:rsidR="001771DC" w:rsidRPr="001771DC" w:rsidRDefault="001771DC" w:rsidP="001771DC">
      <w:pPr>
        <w:pStyle w:val="CMSDash"/>
        <w:numPr>
          <w:ilvl w:val="0"/>
          <w:numId w:val="0"/>
        </w:numPr>
        <w:tabs>
          <w:tab w:val="left" w:pos="708"/>
        </w:tabs>
        <w:adjustRightInd/>
        <w:spacing w:after="0" w:line="240" w:lineRule="auto"/>
        <w:rPr>
          <w:rFonts w:ascii="Arial" w:hAnsi="Arial" w:cs="Arial"/>
          <w:noProof/>
          <w:sz w:val="20"/>
          <w:szCs w:val="20"/>
        </w:rPr>
      </w:pPr>
      <w:r w:rsidRPr="001771DC">
        <w:rPr>
          <w:rFonts w:ascii="Arial" w:hAnsi="Arial" w:cs="Arial"/>
          <w:noProof/>
          <w:sz w:val="20"/>
          <w:szCs w:val="20"/>
        </w:rPr>
        <w:t>Im selben Zeitraum hat sich der Anteil der Einzelhandels-Transaktionen (Retail) mehr als ve</w:t>
      </w:r>
      <w:r w:rsidRPr="001771DC">
        <w:rPr>
          <w:rFonts w:ascii="Arial" w:hAnsi="Arial" w:cs="Arial"/>
          <w:noProof/>
          <w:sz w:val="20"/>
          <w:szCs w:val="20"/>
        </w:rPr>
        <w:t>r</w:t>
      </w:r>
      <w:r w:rsidRPr="001771DC">
        <w:rPr>
          <w:rFonts w:ascii="Arial" w:hAnsi="Arial" w:cs="Arial"/>
          <w:noProof/>
          <w:sz w:val="20"/>
          <w:szCs w:val="20"/>
        </w:rPr>
        <w:t>doppelt (von 21 Prozent in 2008 auf 43 Prozent im ersten Halbjahr 2011), während der Anteil der Büroimmobilien-Transaktionen (Office) in etwa gleich geblieben ist (37 Prozent in 2008 und 39 Prozent im ersten Halbjahr 2011).</w:t>
      </w:r>
    </w:p>
    <w:p w:rsidR="001771DC" w:rsidRPr="001771DC" w:rsidRDefault="001771DC" w:rsidP="001771DC">
      <w:pPr>
        <w:pStyle w:val="CMSDash"/>
        <w:numPr>
          <w:ilvl w:val="0"/>
          <w:numId w:val="0"/>
        </w:numPr>
        <w:tabs>
          <w:tab w:val="left" w:pos="708"/>
        </w:tabs>
        <w:adjustRightInd/>
        <w:spacing w:after="0" w:line="240" w:lineRule="auto"/>
        <w:rPr>
          <w:rFonts w:ascii="Arial" w:hAnsi="Arial" w:cs="Arial"/>
          <w:noProof/>
          <w:sz w:val="20"/>
          <w:szCs w:val="20"/>
        </w:rPr>
      </w:pPr>
    </w:p>
    <w:p w:rsidR="001771DC" w:rsidRPr="001771DC" w:rsidRDefault="001771DC" w:rsidP="001771DC">
      <w:pPr>
        <w:pStyle w:val="CMSDash"/>
        <w:numPr>
          <w:ilvl w:val="0"/>
          <w:numId w:val="0"/>
        </w:numPr>
        <w:tabs>
          <w:tab w:val="left" w:pos="708"/>
        </w:tabs>
        <w:adjustRightInd/>
        <w:spacing w:after="0" w:line="240" w:lineRule="auto"/>
        <w:rPr>
          <w:rFonts w:ascii="Arial" w:hAnsi="Arial" w:cs="Arial"/>
          <w:noProof/>
          <w:sz w:val="20"/>
          <w:szCs w:val="20"/>
        </w:rPr>
      </w:pPr>
      <w:r w:rsidRPr="001771DC">
        <w:rPr>
          <w:rFonts w:ascii="Arial" w:hAnsi="Arial" w:cs="Arial"/>
          <w:b/>
          <w:noProof/>
          <w:sz w:val="20"/>
          <w:szCs w:val="20"/>
        </w:rPr>
        <w:t>Trend zum Verkäufermarkt setzt sich fort</w:t>
      </w:r>
      <w:r w:rsidRPr="001771DC">
        <w:rPr>
          <w:rFonts w:ascii="Arial" w:hAnsi="Arial" w:cs="Arial"/>
          <w:noProof/>
          <w:sz w:val="20"/>
          <w:szCs w:val="20"/>
        </w:rPr>
        <w:br/>
        <w:t>Gregor Famira: “Der seit Mitte 2009 zu beobachtende Trend zum Verkäufermarkt hat sich im letzten Jahr weiter verfestigt. So ist zum Beispiel der Anteil der Transaktionen, bei denen lange Verjährungsfristen von mehr als 24 Monaten vereinbart wurden, seit der Jahreswende 2009/2010 um die Hälfte zurückgegangen". Dieser habe zu Beginn des Jahres 2010 noch bei 50 Prozent gelegen und sei dann auf 25 Prozent zum Ende der ersten Jahreshälfte 2011 g</w:t>
      </w:r>
      <w:r w:rsidRPr="001771DC">
        <w:rPr>
          <w:rFonts w:ascii="Arial" w:hAnsi="Arial" w:cs="Arial"/>
          <w:noProof/>
          <w:sz w:val="20"/>
          <w:szCs w:val="20"/>
        </w:rPr>
        <w:t>e</w:t>
      </w:r>
      <w:r w:rsidRPr="001771DC">
        <w:rPr>
          <w:rFonts w:ascii="Arial" w:hAnsi="Arial" w:cs="Arial"/>
          <w:noProof/>
          <w:sz w:val="20"/>
          <w:szCs w:val="20"/>
        </w:rPr>
        <w:t>sunken. Im gleichen Zeitraum sei der Anteil der Transaktionen mit einer kurzen Verjährungsfrist von sechs bis 12 Monaten stark angestiegen, und zwar von sieben auf 25 Prozent, erläuterte Famira weiter.</w:t>
      </w:r>
    </w:p>
    <w:p w:rsidR="001771DC" w:rsidRPr="001771DC" w:rsidRDefault="001771DC" w:rsidP="001771DC">
      <w:pPr>
        <w:pStyle w:val="CMSDash"/>
        <w:numPr>
          <w:ilvl w:val="0"/>
          <w:numId w:val="0"/>
        </w:numPr>
        <w:tabs>
          <w:tab w:val="left" w:pos="708"/>
        </w:tabs>
        <w:adjustRightInd/>
        <w:spacing w:after="0" w:line="240" w:lineRule="auto"/>
        <w:rPr>
          <w:rFonts w:ascii="Arial" w:hAnsi="Arial" w:cs="Arial"/>
          <w:noProof/>
          <w:sz w:val="20"/>
          <w:szCs w:val="20"/>
        </w:rPr>
      </w:pPr>
    </w:p>
    <w:p w:rsidR="001771DC" w:rsidRPr="001771DC" w:rsidRDefault="001771DC" w:rsidP="001771DC">
      <w:pPr>
        <w:pStyle w:val="CMSDash"/>
        <w:numPr>
          <w:ilvl w:val="0"/>
          <w:numId w:val="0"/>
        </w:numPr>
        <w:tabs>
          <w:tab w:val="left" w:pos="708"/>
        </w:tabs>
        <w:adjustRightInd/>
        <w:spacing w:after="0" w:line="240" w:lineRule="auto"/>
        <w:rPr>
          <w:rFonts w:ascii="Arial" w:hAnsi="Arial" w:cs="Arial"/>
          <w:noProof/>
          <w:sz w:val="20"/>
          <w:szCs w:val="20"/>
        </w:rPr>
      </w:pPr>
      <w:r w:rsidRPr="001771DC">
        <w:rPr>
          <w:rFonts w:ascii="Arial" w:hAnsi="Arial" w:cs="Arial"/>
          <w:noProof/>
          <w:sz w:val="20"/>
          <w:szCs w:val="20"/>
        </w:rPr>
        <w:lastRenderedPageBreak/>
        <w:t xml:space="preserve">Seit 2009 akzeptieren Käufer auch immer häufiger verkäuferfreundliche Vertragsklauseln wie zum Beispiel  </w:t>
      </w:r>
      <w:r w:rsidRPr="00067AF7">
        <w:rPr>
          <w:rFonts w:ascii="Arial" w:hAnsi="Arial" w:cs="Arial"/>
          <w:b/>
          <w:i/>
          <w:noProof/>
          <w:sz w:val="20"/>
          <w:szCs w:val="20"/>
        </w:rPr>
        <w:t xml:space="preserve">de minimis- </w:t>
      </w:r>
      <w:r w:rsidRPr="00067AF7">
        <w:rPr>
          <w:rFonts w:ascii="Arial" w:hAnsi="Arial" w:cs="Arial"/>
          <w:b/>
          <w:noProof/>
          <w:sz w:val="20"/>
          <w:szCs w:val="20"/>
        </w:rPr>
        <w:t>und Basket-Klauseln</w:t>
      </w:r>
      <w:r w:rsidRPr="001771DC">
        <w:rPr>
          <w:rFonts w:ascii="Arial" w:hAnsi="Arial" w:cs="Arial"/>
          <w:noProof/>
          <w:sz w:val="20"/>
          <w:szCs w:val="20"/>
        </w:rPr>
        <w:t xml:space="preserve"> (die eine Bagatellgrenze bzw. eine Mindest-Freigrenze für Garantieansprüche des Käufers vorsehen)  und Regelungen zu </w:t>
      </w:r>
      <w:r w:rsidRPr="00067AF7">
        <w:rPr>
          <w:rFonts w:ascii="Arial" w:hAnsi="Arial" w:cs="Arial"/>
          <w:b/>
          <w:noProof/>
          <w:sz w:val="20"/>
          <w:szCs w:val="20"/>
        </w:rPr>
        <w:t>Haftung</w:t>
      </w:r>
      <w:r w:rsidRPr="00067AF7">
        <w:rPr>
          <w:rFonts w:ascii="Arial" w:hAnsi="Arial" w:cs="Arial"/>
          <w:b/>
          <w:noProof/>
          <w:sz w:val="20"/>
          <w:szCs w:val="20"/>
        </w:rPr>
        <w:t>s</w:t>
      </w:r>
      <w:r w:rsidRPr="00067AF7">
        <w:rPr>
          <w:rFonts w:ascii="Arial" w:hAnsi="Arial" w:cs="Arial"/>
          <w:b/>
          <w:noProof/>
          <w:sz w:val="20"/>
          <w:szCs w:val="20"/>
        </w:rPr>
        <w:t>höchstgrenzen</w:t>
      </w:r>
      <w:r w:rsidRPr="001771DC">
        <w:rPr>
          <w:rFonts w:ascii="Arial" w:hAnsi="Arial" w:cs="Arial"/>
          <w:noProof/>
          <w:sz w:val="20"/>
          <w:szCs w:val="20"/>
        </w:rPr>
        <w:t>. In der ersten Jahreshälfte 2009 waren de minimis-Klauseln nur in acht Prozent aller untersuchten Transaktionsverträge enthalten. Ein Jahr später wurden sie bereits in 50 Pr</w:t>
      </w:r>
      <w:r w:rsidRPr="001771DC">
        <w:rPr>
          <w:rFonts w:ascii="Arial" w:hAnsi="Arial" w:cs="Arial"/>
          <w:noProof/>
          <w:sz w:val="20"/>
          <w:szCs w:val="20"/>
        </w:rPr>
        <w:t>o</w:t>
      </w:r>
      <w:r w:rsidRPr="001771DC">
        <w:rPr>
          <w:rFonts w:ascii="Arial" w:hAnsi="Arial" w:cs="Arial"/>
          <w:noProof/>
          <w:sz w:val="20"/>
          <w:szCs w:val="20"/>
        </w:rPr>
        <w:t>zent der Fälle vereinbart. Seither hat der Anteil der Transaktionen mit einer de minimis-Klausel auch weiterhin deutlich über dem Vorkrisenniveau gelegen (43 Prozent im zweiten Halbjahr 2010 und 33 Prozent im ersten Halbjahr 2011). Basket-Klauseln waren in der ersten Jahreshäl</w:t>
      </w:r>
      <w:r w:rsidRPr="001771DC">
        <w:rPr>
          <w:rFonts w:ascii="Arial" w:hAnsi="Arial" w:cs="Arial"/>
          <w:noProof/>
          <w:sz w:val="20"/>
          <w:szCs w:val="20"/>
        </w:rPr>
        <w:t>f</w:t>
      </w:r>
      <w:r w:rsidRPr="001771DC">
        <w:rPr>
          <w:rFonts w:ascii="Arial" w:hAnsi="Arial" w:cs="Arial"/>
          <w:noProof/>
          <w:sz w:val="20"/>
          <w:szCs w:val="20"/>
        </w:rPr>
        <w:t>te 2009 kaum zu sehen. Im ersten Halbjahr 2011 lag der Anteil der Transaktionen mit einer Basket-Klausel dagegen bei 29 Prozent. Der Anteil der Transaktionen mit einer Haftungshöchstgrenze (sog. „Cap“) lag in der ersten Jahreshälfte 2009 bei 23 Prozent und im ersten Halbjahr 2011 bei 46 Prozent.</w:t>
      </w:r>
    </w:p>
    <w:p w:rsidR="001771DC" w:rsidRPr="001771DC" w:rsidRDefault="001771DC" w:rsidP="001771DC">
      <w:pPr>
        <w:pStyle w:val="CMSDash"/>
        <w:numPr>
          <w:ilvl w:val="0"/>
          <w:numId w:val="0"/>
        </w:numPr>
        <w:tabs>
          <w:tab w:val="left" w:pos="708"/>
        </w:tabs>
        <w:adjustRightInd/>
        <w:spacing w:after="0" w:line="240" w:lineRule="auto"/>
        <w:rPr>
          <w:rFonts w:ascii="Arial" w:hAnsi="Arial" w:cs="Arial"/>
          <w:noProof/>
          <w:sz w:val="20"/>
          <w:szCs w:val="20"/>
        </w:rPr>
      </w:pPr>
    </w:p>
    <w:p w:rsidR="001771DC" w:rsidRPr="00067AF7" w:rsidRDefault="001771DC" w:rsidP="001771DC">
      <w:pPr>
        <w:rPr>
          <w:rFonts w:ascii="Arial" w:hAnsi="Arial" w:cs="Arial"/>
          <w:b/>
          <w:noProof/>
          <w:sz w:val="20"/>
          <w:lang w:val="de-DE"/>
        </w:rPr>
      </w:pPr>
      <w:r w:rsidRPr="00067AF7">
        <w:rPr>
          <w:rFonts w:ascii="Arial" w:hAnsi="Arial" w:cs="Arial"/>
          <w:b/>
          <w:noProof/>
          <w:sz w:val="20"/>
          <w:lang w:val="de-DE"/>
        </w:rPr>
        <w:t>Unterschiede in der Vertragsgestaltung: Deutschland, Österreich - CEE</w:t>
      </w:r>
    </w:p>
    <w:p w:rsidR="001771DC" w:rsidRPr="001771DC" w:rsidRDefault="001771DC" w:rsidP="001771DC">
      <w:pPr>
        <w:pStyle w:val="Listenabsatz"/>
        <w:numPr>
          <w:ilvl w:val="0"/>
          <w:numId w:val="2"/>
        </w:numPr>
        <w:rPr>
          <w:rFonts w:ascii="Arial" w:eastAsia="Times New Roman" w:hAnsi="Arial" w:cs="Arial"/>
          <w:noProof/>
          <w:sz w:val="20"/>
          <w:szCs w:val="20"/>
          <w:lang w:val="de-DE" w:eastAsia="de-DE"/>
        </w:rPr>
      </w:pPr>
      <w:r w:rsidRPr="001771DC">
        <w:rPr>
          <w:rFonts w:ascii="Arial" w:eastAsia="Times New Roman" w:hAnsi="Arial" w:cs="Arial"/>
          <w:noProof/>
          <w:sz w:val="20"/>
          <w:szCs w:val="20"/>
          <w:lang w:val="de-DE" w:eastAsia="de-DE"/>
        </w:rPr>
        <w:t>Die Krise hat später angefangen und später aufgehört; auch in Q4/2010 gab es in CEE vergleichsweise viele Transaktionen, die</w:t>
      </w:r>
      <w:bookmarkStart w:id="0" w:name="_GoBack"/>
      <w:bookmarkEnd w:id="0"/>
      <w:r w:rsidRPr="001771DC">
        <w:rPr>
          <w:rFonts w:ascii="Arial" w:eastAsia="Times New Roman" w:hAnsi="Arial" w:cs="Arial"/>
          <w:noProof/>
          <w:sz w:val="20"/>
          <w:szCs w:val="20"/>
          <w:lang w:val="de-DE" w:eastAsia="de-DE"/>
        </w:rPr>
        <w:t xml:space="preserve"> überwiegend Eigenkapital-finanziert waren. Anfang 2011 war das Eigenkapitalbedürfnis dann ausgeglichen.</w:t>
      </w:r>
      <w:r w:rsidRPr="001771DC">
        <w:rPr>
          <w:rFonts w:ascii="Arial" w:eastAsia="Times New Roman" w:hAnsi="Arial" w:cs="Arial"/>
          <w:noProof/>
          <w:sz w:val="20"/>
          <w:szCs w:val="20"/>
          <w:lang w:val="de-DE" w:eastAsia="de-DE"/>
        </w:rPr>
        <w:br/>
        <w:t xml:space="preserve"> </w:t>
      </w:r>
    </w:p>
    <w:p w:rsidR="001771DC" w:rsidRPr="001771DC" w:rsidRDefault="001771DC" w:rsidP="001771DC">
      <w:pPr>
        <w:pStyle w:val="Listenabsatz"/>
        <w:numPr>
          <w:ilvl w:val="0"/>
          <w:numId w:val="2"/>
        </w:numPr>
        <w:rPr>
          <w:rFonts w:ascii="Arial" w:eastAsia="Times New Roman" w:hAnsi="Arial" w:cs="Arial"/>
          <w:noProof/>
          <w:sz w:val="20"/>
          <w:szCs w:val="20"/>
          <w:lang w:val="de-DE" w:eastAsia="de-DE"/>
        </w:rPr>
      </w:pPr>
      <w:r w:rsidRPr="001771DC">
        <w:rPr>
          <w:rFonts w:ascii="Arial" w:eastAsia="Times New Roman" w:hAnsi="Arial" w:cs="Arial"/>
          <w:noProof/>
          <w:sz w:val="20"/>
          <w:szCs w:val="20"/>
          <w:lang w:val="de-DE" w:eastAsia="de-DE"/>
        </w:rPr>
        <w:t xml:space="preserve">Das Sicherheitsbedürfnis ist etwas ausgeprägter; bei einem deutlich höheren Anteil (70% statt 40%) der Transaktionen ist die Zahlung des Kaufpreises eigens abgesichert, und zwar über ein direkt vollstreckbares Instrument. </w:t>
      </w:r>
      <w:r w:rsidRPr="001771DC">
        <w:rPr>
          <w:rFonts w:ascii="Arial" w:eastAsia="Times New Roman" w:hAnsi="Arial" w:cs="Arial"/>
          <w:noProof/>
          <w:sz w:val="20"/>
          <w:szCs w:val="20"/>
          <w:lang w:val="de-DE" w:eastAsia="de-DE"/>
        </w:rPr>
        <w:br/>
      </w:r>
    </w:p>
    <w:p w:rsidR="001771DC" w:rsidRPr="001771DC" w:rsidRDefault="001771DC" w:rsidP="001771DC">
      <w:pPr>
        <w:pStyle w:val="Listenabsatz"/>
        <w:numPr>
          <w:ilvl w:val="0"/>
          <w:numId w:val="2"/>
        </w:numPr>
        <w:rPr>
          <w:rFonts w:ascii="Arial" w:eastAsia="Times New Roman" w:hAnsi="Arial" w:cs="Arial"/>
          <w:noProof/>
          <w:sz w:val="20"/>
          <w:szCs w:val="20"/>
          <w:lang w:val="de-DE" w:eastAsia="de-DE"/>
        </w:rPr>
      </w:pPr>
      <w:r w:rsidRPr="001771DC">
        <w:rPr>
          <w:rFonts w:ascii="Arial" w:eastAsia="Times New Roman" w:hAnsi="Arial" w:cs="Arial"/>
          <w:noProof/>
          <w:sz w:val="20"/>
          <w:szCs w:val="20"/>
          <w:lang w:val="de-DE" w:eastAsia="de-DE"/>
        </w:rPr>
        <w:t>Due Diligences sind genauer, Garantiefristen kürzer: nur bei 25% der CEE-Deals geht die Gewährleistung über 2 Jahre hinaus (verglichen mit 35% in Deutschland), dafür war in ca. einem Drittel der Fälle die Frist kürzer als sechs Monate (in Deutschland nur bei 10%).</w:t>
      </w:r>
      <w:r w:rsidRPr="001771DC">
        <w:rPr>
          <w:rFonts w:ascii="Arial" w:eastAsia="Times New Roman" w:hAnsi="Arial" w:cs="Arial"/>
          <w:noProof/>
          <w:sz w:val="20"/>
          <w:szCs w:val="20"/>
          <w:lang w:val="de-DE" w:eastAsia="de-DE"/>
        </w:rPr>
        <w:br/>
      </w:r>
    </w:p>
    <w:p w:rsidR="001771DC" w:rsidRPr="001771DC" w:rsidRDefault="001771DC" w:rsidP="001771DC">
      <w:pPr>
        <w:pStyle w:val="Listenabsatz"/>
        <w:numPr>
          <w:ilvl w:val="0"/>
          <w:numId w:val="2"/>
        </w:numPr>
        <w:rPr>
          <w:rFonts w:ascii="Arial" w:eastAsia="Times New Roman" w:hAnsi="Arial" w:cs="Arial"/>
          <w:noProof/>
          <w:sz w:val="20"/>
          <w:szCs w:val="20"/>
          <w:lang w:val="de-DE" w:eastAsia="de-DE"/>
        </w:rPr>
      </w:pPr>
      <w:r w:rsidRPr="001771DC">
        <w:rPr>
          <w:rFonts w:ascii="Arial" w:eastAsia="Times New Roman" w:hAnsi="Arial" w:cs="Arial"/>
          <w:noProof/>
          <w:sz w:val="20"/>
          <w:szCs w:val="20"/>
          <w:lang w:val="de-DE" w:eastAsia="de-DE"/>
        </w:rPr>
        <w:t xml:space="preserve">Das genauere „Hinsehen“ schlägt sich auch in den Bestimmungen nieder, die den Ausschluss der Haftung des Verkäufers bei Mängeln regeln (wenn der Käufer den Fehler kannte / hätte kennen müssen / in den Unterlagen hätte finden können?): dieser Bereich ist detaillierter geregelt. </w:t>
      </w:r>
      <w:r w:rsidRPr="001771DC">
        <w:rPr>
          <w:rFonts w:ascii="Arial" w:eastAsia="Times New Roman" w:hAnsi="Arial" w:cs="Arial"/>
          <w:noProof/>
          <w:sz w:val="20"/>
          <w:szCs w:val="20"/>
          <w:lang w:val="de-DE" w:eastAsia="de-DE"/>
        </w:rPr>
        <w:br/>
      </w:r>
    </w:p>
    <w:p w:rsidR="00C8763F" w:rsidRPr="00C743FB" w:rsidRDefault="001771DC" w:rsidP="001771DC">
      <w:pPr>
        <w:rPr>
          <w:rFonts w:ascii="Arial" w:hAnsi="Arial" w:cs="Arial"/>
          <w:noProof/>
          <w:sz w:val="20"/>
          <w:lang w:val="de-DE"/>
        </w:rPr>
      </w:pPr>
      <w:r w:rsidRPr="001771DC">
        <w:rPr>
          <w:rFonts w:ascii="Arial" w:hAnsi="Arial" w:cs="Arial"/>
          <w:noProof/>
          <w:sz w:val="20"/>
          <w:lang w:val="de-DE"/>
        </w:rPr>
        <w:t>Schließlich scheint man sich in CEE weniger auf die Rechtspraxis zu verlassen: die Regelungen sind im Durchschnitt um einiges umfangreicher und detaillierter.</w:t>
      </w:r>
    </w:p>
    <w:p w:rsidR="00C8763F" w:rsidRPr="00C743FB" w:rsidRDefault="00C8763F" w:rsidP="00C8763F">
      <w:pPr>
        <w:rPr>
          <w:rFonts w:ascii="Arial" w:hAnsi="Arial" w:cs="Arial"/>
          <w:noProof/>
          <w:sz w:val="20"/>
          <w:lang w:val="de-DE"/>
        </w:rPr>
      </w:pPr>
    </w:p>
    <w:p w:rsidR="00C8763F" w:rsidRPr="00C743FB" w:rsidRDefault="00C8763F" w:rsidP="00C8763F">
      <w:pPr>
        <w:rPr>
          <w:rFonts w:ascii="Arial" w:hAnsi="Arial" w:cs="Arial"/>
          <w:bCs/>
          <w:noProof/>
          <w:sz w:val="20"/>
          <w:lang w:val="de-DE"/>
        </w:rPr>
      </w:pPr>
    </w:p>
    <w:p w:rsidR="00C743FB" w:rsidRPr="00DD2E36" w:rsidRDefault="00C743FB" w:rsidP="00C743FB">
      <w:pPr>
        <w:rPr>
          <w:rFonts w:ascii="Arial" w:hAnsi="Arial" w:cs="Arial"/>
          <w:sz w:val="16"/>
          <w:szCs w:val="16"/>
        </w:rPr>
      </w:pPr>
      <w:r w:rsidRPr="00DD2E36">
        <w:rPr>
          <w:rFonts w:ascii="Arial" w:hAnsi="Arial" w:cs="Arial"/>
          <w:iCs/>
          <w:sz w:val="16"/>
          <w:szCs w:val="16"/>
          <w:lang w:val="de-DE"/>
        </w:rPr>
        <w:t>Bei Rückfragen wenden Sie sich bitte an:</w:t>
      </w:r>
    </w:p>
    <w:p w:rsidR="00C743FB" w:rsidRPr="00DD2E36" w:rsidRDefault="00C743FB" w:rsidP="00C743FB">
      <w:pPr>
        <w:outlineLvl w:val="0"/>
        <w:rPr>
          <w:rFonts w:ascii="Arial" w:hAnsi="Arial" w:cs="Arial"/>
          <w:sz w:val="16"/>
          <w:szCs w:val="16"/>
        </w:rPr>
      </w:pPr>
      <w:r w:rsidRPr="00DD2E36">
        <w:rPr>
          <w:rFonts w:ascii="Arial" w:hAnsi="Arial" w:cs="Arial"/>
          <w:b/>
          <w:bCs/>
          <w:iCs/>
          <w:sz w:val="16"/>
          <w:szCs w:val="16"/>
          <w:lang w:val="de-DE"/>
        </w:rPr>
        <w:t>Mag. Kristijana Lastro</w:t>
      </w:r>
    </w:p>
    <w:p w:rsidR="00C743FB" w:rsidRPr="00DD2E36" w:rsidRDefault="00C743FB" w:rsidP="00C743FB">
      <w:pPr>
        <w:outlineLvl w:val="0"/>
        <w:rPr>
          <w:rFonts w:ascii="Arial" w:hAnsi="Arial" w:cs="Arial"/>
          <w:sz w:val="16"/>
          <w:szCs w:val="16"/>
        </w:rPr>
      </w:pPr>
      <w:smartTag w:uri="urn:schemas-microsoft-com:office:smarttags" w:element="PersonName">
        <w:r w:rsidRPr="00DD2E36">
          <w:rPr>
            <w:rFonts w:ascii="Arial" w:hAnsi="Arial" w:cs="Arial"/>
            <w:iCs/>
            <w:sz w:val="16"/>
            <w:szCs w:val="16"/>
            <w:lang w:val="de-DE"/>
          </w:rPr>
          <w:t>CMS Reich-Rohrwig Hainz</w:t>
        </w:r>
      </w:smartTag>
      <w:r w:rsidRPr="00DD2E36">
        <w:rPr>
          <w:rFonts w:ascii="Arial" w:hAnsi="Arial" w:cs="Arial"/>
          <w:iCs/>
          <w:sz w:val="16"/>
          <w:szCs w:val="16"/>
          <w:lang w:val="de-DE"/>
        </w:rPr>
        <w:t xml:space="preserve"> Rechtsanwälte GmbH</w:t>
      </w:r>
    </w:p>
    <w:p w:rsidR="00C743FB" w:rsidRPr="00DD2E36" w:rsidRDefault="00C743FB" w:rsidP="00C743FB">
      <w:pPr>
        <w:rPr>
          <w:rFonts w:ascii="Arial" w:hAnsi="Arial" w:cs="Arial"/>
          <w:sz w:val="16"/>
          <w:szCs w:val="16"/>
        </w:rPr>
      </w:pPr>
      <w:r w:rsidRPr="00DD2E36">
        <w:rPr>
          <w:rFonts w:ascii="Arial" w:hAnsi="Arial" w:cs="Arial"/>
          <w:iCs/>
          <w:sz w:val="16"/>
          <w:szCs w:val="16"/>
          <w:lang w:val="de-DE"/>
        </w:rPr>
        <w:t xml:space="preserve">A-1010 Wien, </w:t>
      </w:r>
      <w:proofErr w:type="spellStart"/>
      <w:r w:rsidRPr="00DD2E36">
        <w:rPr>
          <w:rFonts w:ascii="Arial" w:hAnsi="Arial" w:cs="Arial"/>
          <w:iCs/>
          <w:sz w:val="16"/>
          <w:szCs w:val="16"/>
          <w:lang w:val="de-DE"/>
        </w:rPr>
        <w:t>Ebendorferstraße</w:t>
      </w:r>
      <w:proofErr w:type="spellEnd"/>
      <w:r w:rsidRPr="00DD2E36">
        <w:rPr>
          <w:rFonts w:ascii="Arial" w:hAnsi="Arial" w:cs="Arial"/>
          <w:iCs/>
          <w:sz w:val="16"/>
          <w:szCs w:val="16"/>
          <w:lang w:val="de-DE"/>
        </w:rPr>
        <w:t xml:space="preserve"> 3</w:t>
      </w:r>
    </w:p>
    <w:p w:rsidR="00C743FB" w:rsidRPr="00DD2E36" w:rsidRDefault="00C743FB" w:rsidP="00147D48">
      <w:pPr>
        <w:rPr>
          <w:rFonts w:ascii="Arial" w:hAnsi="Arial" w:cs="Arial"/>
          <w:sz w:val="16"/>
          <w:szCs w:val="16"/>
        </w:rPr>
      </w:pPr>
      <w:r w:rsidRPr="00DD2E36">
        <w:rPr>
          <w:rFonts w:ascii="Arial" w:hAnsi="Arial" w:cs="Arial"/>
          <w:iCs/>
          <w:sz w:val="16"/>
          <w:szCs w:val="16"/>
          <w:lang w:val="de-DE"/>
        </w:rPr>
        <w:t xml:space="preserve">T +43 1 40443 </w:t>
      </w:r>
      <w:r w:rsidR="009D35F3">
        <w:rPr>
          <w:rFonts w:ascii="Arial" w:hAnsi="Arial" w:cs="Arial"/>
          <w:iCs/>
          <w:sz w:val="16"/>
          <w:szCs w:val="16"/>
          <w:lang w:val="de-DE"/>
        </w:rPr>
        <w:t>4000</w:t>
      </w:r>
    </w:p>
    <w:p w:rsidR="00C743FB" w:rsidRPr="00DD2E36" w:rsidRDefault="00C743FB" w:rsidP="00C743FB">
      <w:pPr>
        <w:rPr>
          <w:rFonts w:ascii="Arial" w:hAnsi="Arial" w:cs="Arial"/>
          <w:sz w:val="16"/>
          <w:szCs w:val="16"/>
        </w:rPr>
      </w:pPr>
      <w:r w:rsidRPr="00DD2E36">
        <w:rPr>
          <w:rFonts w:ascii="Arial" w:hAnsi="Arial" w:cs="Arial"/>
          <w:iCs/>
          <w:sz w:val="16"/>
          <w:szCs w:val="16"/>
          <w:lang w:val="de-DE"/>
        </w:rPr>
        <w:t>F +43 1 40443 9</w:t>
      </w:r>
      <w:r w:rsidR="009D35F3">
        <w:rPr>
          <w:rFonts w:ascii="Arial" w:hAnsi="Arial" w:cs="Arial"/>
          <w:iCs/>
          <w:sz w:val="16"/>
          <w:szCs w:val="16"/>
          <w:lang w:val="de-DE"/>
        </w:rPr>
        <w:t>4000</w:t>
      </w:r>
    </w:p>
    <w:p w:rsidR="00C743FB" w:rsidRPr="00147D48" w:rsidRDefault="00C743FB" w:rsidP="00C743FB">
      <w:pPr>
        <w:outlineLvl w:val="0"/>
        <w:rPr>
          <w:rFonts w:ascii="Arial" w:hAnsi="Arial" w:cs="Arial"/>
          <w:sz w:val="16"/>
          <w:szCs w:val="16"/>
          <w:lang w:val="it-IT"/>
        </w:rPr>
      </w:pPr>
      <w:r w:rsidRPr="00147D48">
        <w:rPr>
          <w:rFonts w:ascii="Arial" w:hAnsi="Arial" w:cs="Arial"/>
          <w:iCs/>
          <w:sz w:val="16"/>
          <w:szCs w:val="16"/>
          <w:lang w:val="it-IT"/>
        </w:rPr>
        <w:t xml:space="preserve">E </w:t>
      </w:r>
      <w:hyperlink r:id="rId8" w:history="1">
        <w:r w:rsidRPr="00147D48">
          <w:rPr>
            <w:rStyle w:val="Hyperlink"/>
            <w:rFonts w:ascii="Arial" w:hAnsi="Arial" w:cs="Arial"/>
            <w:iCs/>
            <w:sz w:val="16"/>
            <w:szCs w:val="16"/>
            <w:lang w:val="it-IT"/>
          </w:rPr>
          <w:t>kristijana.lastro@cms-rrh.com</w:t>
        </w:r>
      </w:hyperlink>
    </w:p>
    <w:p w:rsidR="00C743FB" w:rsidRPr="00147D48" w:rsidRDefault="00C743FB" w:rsidP="00C743FB">
      <w:pPr>
        <w:tabs>
          <w:tab w:val="left" w:pos="5103"/>
        </w:tabs>
        <w:ind w:right="-288"/>
        <w:rPr>
          <w:rFonts w:ascii="Arial" w:hAnsi="Arial" w:cs="Arial"/>
          <w:sz w:val="16"/>
          <w:szCs w:val="16"/>
          <w:lang w:val="it-IT"/>
        </w:rPr>
      </w:pPr>
    </w:p>
    <w:p w:rsidR="00C743FB" w:rsidRPr="00147D48" w:rsidRDefault="00C743FB" w:rsidP="00C743FB">
      <w:pPr>
        <w:ind w:right="-288"/>
        <w:rPr>
          <w:rFonts w:ascii="Arial" w:hAnsi="Arial" w:cs="Arial"/>
          <w:sz w:val="16"/>
          <w:szCs w:val="16"/>
          <w:lang w:val="it-IT"/>
        </w:rPr>
      </w:pPr>
    </w:p>
    <w:p w:rsidR="008907E1" w:rsidRDefault="007A7AA8" w:rsidP="008907E1">
      <w:pPr>
        <w:pStyle w:val="StandardWeb"/>
        <w:spacing w:before="0" w:beforeAutospacing="0" w:after="0" w:afterAutospacing="0"/>
        <w:jc w:val="both"/>
        <w:rPr>
          <w:rStyle w:val="Fett"/>
          <w:rFonts w:ascii="Arial" w:hAnsi="Arial" w:cs="Arial"/>
          <w:sz w:val="16"/>
          <w:szCs w:val="16"/>
        </w:rPr>
      </w:pPr>
      <w:r>
        <w:rPr>
          <w:rStyle w:val="Fett"/>
          <w:rFonts w:ascii="Arial" w:hAnsi="Arial" w:cs="Arial"/>
          <w:sz w:val="16"/>
          <w:szCs w:val="16"/>
        </w:rPr>
        <w:t>Ü</w:t>
      </w:r>
      <w:r w:rsidR="008907E1">
        <w:rPr>
          <w:rStyle w:val="Fett"/>
          <w:rFonts w:ascii="Arial" w:hAnsi="Arial" w:cs="Arial"/>
          <w:sz w:val="16"/>
          <w:szCs w:val="16"/>
        </w:rPr>
        <w:t>ber CMS Reich-Rohrwig Hainz</w:t>
      </w:r>
    </w:p>
    <w:p w:rsidR="008907E1" w:rsidRDefault="008907E1" w:rsidP="008907E1">
      <w:pPr>
        <w:pStyle w:val="StandardWeb"/>
        <w:spacing w:before="0" w:beforeAutospacing="0" w:after="0" w:afterAutospacing="0"/>
        <w:jc w:val="both"/>
      </w:pPr>
      <w:smartTag w:uri="urn:schemas-microsoft-com:office:smarttags" w:element="PersonName">
        <w:r>
          <w:rPr>
            <w:rFonts w:ascii="Arial" w:hAnsi="Arial" w:cs="Arial"/>
            <w:sz w:val="16"/>
            <w:szCs w:val="16"/>
          </w:rPr>
          <w:t>CMS Reich-Rohrwig Hainz</w:t>
        </w:r>
      </w:smartTag>
      <w:r>
        <w:rPr>
          <w:rFonts w:ascii="Arial" w:hAnsi="Arial" w:cs="Arial"/>
          <w:sz w:val="16"/>
          <w:szCs w:val="16"/>
        </w:rPr>
        <w:t xml:space="preserve"> wurde 1970 in Wien gegründet und entwickelte sich seitdem zu einem der führenden Spezialisten in allen Bereichen des Wirtschaftsrechts. Die Schwerpunkte der spezialisierten Teams mit international erfahrenen Juristen liegen in den Bereichen M&amp;A, Banking &amp; </w:t>
      </w:r>
      <w:proofErr w:type="spellStart"/>
      <w:r>
        <w:rPr>
          <w:rFonts w:ascii="Arial" w:hAnsi="Arial" w:cs="Arial"/>
          <w:sz w:val="16"/>
          <w:szCs w:val="16"/>
        </w:rPr>
        <w:t>Finance</w:t>
      </w:r>
      <w:proofErr w:type="spellEnd"/>
      <w:r>
        <w:rPr>
          <w:rFonts w:ascii="Arial" w:hAnsi="Arial" w:cs="Arial"/>
          <w:sz w:val="16"/>
          <w:szCs w:val="16"/>
        </w:rPr>
        <w:t>, Real Estate, Steuerrecht, Arbeitsrecht, IP- und IT-Recht sowie Vergaberecht. Die Kanzlei hat eigene Büros in Wien, Belgrad, Bratislava, Brüssel, Kiew, Ljubljana, Sarajewo, Sofia und Zagreb. Gemeinsam mit den Partne</w:t>
      </w:r>
      <w:r>
        <w:rPr>
          <w:rFonts w:ascii="Arial" w:hAnsi="Arial" w:cs="Arial"/>
          <w:sz w:val="16"/>
          <w:szCs w:val="16"/>
        </w:rPr>
        <w:t>r</w:t>
      </w:r>
      <w:r>
        <w:rPr>
          <w:rFonts w:ascii="Arial" w:hAnsi="Arial" w:cs="Arial"/>
          <w:sz w:val="16"/>
          <w:szCs w:val="16"/>
        </w:rPr>
        <w:t xml:space="preserve">kanzleien in Budapest, Bukarest, Moskau, Prag und Warschau bietet </w:t>
      </w:r>
      <w:smartTag w:uri="urn:schemas-microsoft-com:office:smarttags" w:element="PersonName">
        <w:r>
          <w:rPr>
            <w:rFonts w:ascii="Arial" w:hAnsi="Arial" w:cs="Arial"/>
            <w:sz w:val="16"/>
            <w:szCs w:val="16"/>
          </w:rPr>
          <w:t>CMS Reich-Rohrwig Hainz</w:t>
        </w:r>
      </w:smartTag>
      <w:r>
        <w:rPr>
          <w:rFonts w:ascii="Arial" w:hAnsi="Arial" w:cs="Arial"/>
          <w:sz w:val="16"/>
          <w:szCs w:val="16"/>
        </w:rPr>
        <w:t xml:space="preserve"> ein Team von mehr als 500 erfa</w:t>
      </w:r>
      <w:r>
        <w:rPr>
          <w:rFonts w:ascii="Arial" w:hAnsi="Arial" w:cs="Arial"/>
          <w:sz w:val="16"/>
          <w:szCs w:val="16"/>
        </w:rPr>
        <w:t>h</w:t>
      </w:r>
      <w:r>
        <w:rPr>
          <w:rFonts w:ascii="Arial" w:hAnsi="Arial" w:cs="Arial"/>
          <w:sz w:val="16"/>
          <w:szCs w:val="16"/>
        </w:rPr>
        <w:t xml:space="preserve">renen Spezialisten in der CEE/SEE-Region. </w:t>
      </w:r>
      <w:hyperlink r:id="rId9" w:tooltip="http://www.cms-rrh.com/" w:history="1">
        <w:r>
          <w:rPr>
            <w:rStyle w:val="Hyperlink"/>
            <w:rFonts w:ascii="Arial" w:hAnsi="Arial" w:cs="Arial"/>
            <w:sz w:val="16"/>
            <w:szCs w:val="16"/>
          </w:rPr>
          <w:t>www.cms-rrh.com</w:t>
        </w:r>
      </w:hyperlink>
      <w:r>
        <w:rPr>
          <w:rFonts w:ascii="Arial" w:hAnsi="Arial" w:cs="Arial"/>
          <w:sz w:val="16"/>
          <w:szCs w:val="16"/>
        </w:rPr>
        <w:t xml:space="preserve"> </w:t>
      </w:r>
    </w:p>
    <w:p w:rsidR="00397BB2" w:rsidRDefault="00397BB2" w:rsidP="008907E1">
      <w:pPr>
        <w:ind w:right="-2"/>
        <w:rPr>
          <w:rFonts w:ascii="Arial" w:hAnsi="Arial" w:cs="Arial"/>
          <w:b/>
          <w:bCs/>
          <w:sz w:val="16"/>
          <w:szCs w:val="16"/>
        </w:rPr>
      </w:pPr>
    </w:p>
    <w:p w:rsidR="008907E1" w:rsidRDefault="00397BB2" w:rsidP="008907E1">
      <w:pPr>
        <w:ind w:right="-2"/>
        <w:rPr>
          <w:rFonts w:ascii="Arial" w:hAnsi="Arial" w:cs="Arial"/>
          <w:b/>
          <w:bCs/>
          <w:sz w:val="16"/>
          <w:szCs w:val="16"/>
        </w:rPr>
      </w:pPr>
      <w:r>
        <w:rPr>
          <w:rFonts w:ascii="Arial" w:hAnsi="Arial" w:cs="Arial"/>
          <w:b/>
          <w:bCs/>
          <w:sz w:val="16"/>
          <w:szCs w:val="16"/>
        </w:rPr>
        <w:t>Ü</w:t>
      </w:r>
      <w:r w:rsidR="008907E1">
        <w:rPr>
          <w:rFonts w:ascii="Arial" w:hAnsi="Arial" w:cs="Arial"/>
          <w:b/>
          <w:bCs/>
          <w:sz w:val="16"/>
          <w:szCs w:val="16"/>
        </w:rPr>
        <w:t>ber CMS</w:t>
      </w:r>
    </w:p>
    <w:p w:rsidR="008907E1" w:rsidRDefault="008907E1" w:rsidP="008907E1">
      <w:pPr>
        <w:ind w:right="-2"/>
      </w:pPr>
      <w:r>
        <w:rPr>
          <w:rFonts w:ascii="Arial" w:hAnsi="Arial" w:cs="Arial"/>
          <w:sz w:val="16"/>
          <w:szCs w:val="16"/>
        </w:rPr>
        <w:t>CMS ist der Verbund führender europäischer Rechtsanwalts- und Steuerberatungskanzleien und die erste Wahl für Organisationen, die in Europa ansässig sind oder es werden möchten.</w:t>
      </w:r>
    </w:p>
    <w:p w:rsidR="008907E1" w:rsidRDefault="008907E1" w:rsidP="008907E1">
      <w:pPr>
        <w:ind w:right="-2"/>
      </w:pPr>
      <w:r>
        <w:rPr>
          <w:rFonts w:ascii="Arial" w:hAnsi="Arial" w:cs="Arial"/>
          <w:sz w:val="16"/>
          <w:szCs w:val="16"/>
        </w:rPr>
        <w:t> </w:t>
      </w:r>
    </w:p>
    <w:p w:rsidR="008907E1" w:rsidRDefault="008907E1" w:rsidP="008907E1">
      <w:pPr>
        <w:ind w:right="-2"/>
      </w:pPr>
      <w:r>
        <w:rPr>
          <w:rFonts w:ascii="Arial" w:hAnsi="Arial" w:cs="Arial"/>
          <w:sz w:val="16"/>
          <w:szCs w:val="16"/>
        </w:rPr>
        <w:t>CMS verfügt über fundierte und regionalspezifische Kenntnisse zu juristischen, steuerlichen und unternehmerischen Anliegen und bietet durch eine gemeinsame Strategie, die an 5</w:t>
      </w:r>
      <w:r w:rsidR="002406F9">
        <w:rPr>
          <w:rFonts w:ascii="Arial" w:hAnsi="Arial" w:cs="Arial"/>
          <w:sz w:val="16"/>
          <w:szCs w:val="16"/>
        </w:rPr>
        <w:t>4</w:t>
      </w:r>
      <w:r>
        <w:rPr>
          <w:rFonts w:ascii="Arial" w:hAnsi="Arial" w:cs="Arial"/>
          <w:sz w:val="16"/>
          <w:szCs w:val="16"/>
        </w:rPr>
        <w:t xml:space="preserve"> Standorten in </w:t>
      </w:r>
      <w:r w:rsidR="002406F9">
        <w:rPr>
          <w:rFonts w:ascii="Arial" w:hAnsi="Arial" w:cs="Arial"/>
          <w:sz w:val="16"/>
          <w:szCs w:val="16"/>
        </w:rPr>
        <w:t>30</w:t>
      </w:r>
      <w:r>
        <w:rPr>
          <w:rFonts w:ascii="Arial" w:hAnsi="Arial" w:cs="Arial"/>
          <w:sz w:val="16"/>
          <w:szCs w:val="16"/>
        </w:rPr>
        <w:t xml:space="preserve"> Rechtssystemen in West- und Mitteleuropa und darüber hinaus lokal umgesetzt wird, Dienstleistungen, bei denen der Mandant im Mittelpunkt steht. CMS, dessen Hauptniederlassung in Frankfurt angesiedelt ist, wurde 1999 gegründet und umfasst heute neun CMS Kanzleien mit über 2.</w:t>
      </w:r>
      <w:r w:rsidR="00397BB2">
        <w:rPr>
          <w:rFonts w:ascii="Arial" w:hAnsi="Arial" w:cs="Arial"/>
          <w:sz w:val="16"/>
          <w:szCs w:val="16"/>
        </w:rPr>
        <w:t>8</w:t>
      </w:r>
      <w:r>
        <w:rPr>
          <w:rFonts w:ascii="Arial" w:hAnsi="Arial" w:cs="Arial"/>
          <w:sz w:val="16"/>
          <w:szCs w:val="16"/>
        </w:rPr>
        <w:t xml:space="preserve">00 Anwälten. </w:t>
      </w:r>
    </w:p>
    <w:p w:rsidR="008907E1" w:rsidRDefault="008907E1" w:rsidP="008907E1">
      <w:pPr>
        <w:ind w:right="-2"/>
      </w:pPr>
      <w:r>
        <w:rPr>
          <w:rFonts w:ascii="Arial" w:hAnsi="Arial" w:cs="Arial"/>
          <w:i/>
          <w:iCs/>
          <w:sz w:val="16"/>
          <w:szCs w:val="16"/>
        </w:rPr>
        <w:t> </w:t>
      </w:r>
    </w:p>
    <w:p w:rsidR="007A7AA8" w:rsidRPr="00B918CB" w:rsidRDefault="007A7AA8" w:rsidP="007A7AA8">
      <w:pPr>
        <w:ind w:right="-2"/>
        <w:rPr>
          <w:rFonts w:ascii="Arial" w:hAnsi="Arial" w:cs="Arial"/>
          <w:sz w:val="16"/>
          <w:szCs w:val="16"/>
        </w:rPr>
      </w:pPr>
      <w:r w:rsidRPr="007A7AA8">
        <w:rPr>
          <w:rFonts w:ascii="Arial" w:hAnsi="Arial" w:cs="Arial"/>
          <w:b/>
          <w:sz w:val="16"/>
          <w:szCs w:val="16"/>
        </w:rPr>
        <w:t xml:space="preserve">CMS </w:t>
      </w:r>
      <w:proofErr w:type="spellStart"/>
      <w:r w:rsidRPr="007A7AA8">
        <w:rPr>
          <w:rFonts w:ascii="Arial" w:hAnsi="Arial" w:cs="Arial"/>
          <w:b/>
          <w:sz w:val="16"/>
          <w:szCs w:val="16"/>
        </w:rPr>
        <w:t>member</w:t>
      </w:r>
      <w:proofErr w:type="spellEnd"/>
      <w:r w:rsidRPr="007A7AA8">
        <w:rPr>
          <w:rFonts w:ascii="Arial" w:hAnsi="Arial" w:cs="Arial"/>
          <w:b/>
          <w:sz w:val="16"/>
          <w:szCs w:val="16"/>
        </w:rPr>
        <w:t xml:space="preserve"> </w:t>
      </w:r>
      <w:proofErr w:type="spellStart"/>
      <w:r w:rsidRPr="007A7AA8">
        <w:rPr>
          <w:rFonts w:ascii="Arial" w:hAnsi="Arial" w:cs="Arial"/>
          <w:b/>
          <w:sz w:val="16"/>
          <w:szCs w:val="16"/>
        </w:rPr>
        <w:t>firms</w:t>
      </w:r>
      <w:proofErr w:type="spellEnd"/>
      <w:r w:rsidRPr="007A7AA8">
        <w:rPr>
          <w:rFonts w:ascii="Arial" w:hAnsi="Arial" w:cs="Arial"/>
          <w:b/>
          <w:sz w:val="16"/>
          <w:szCs w:val="16"/>
        </w:rPr>
        <w:t xml:space="preserve"> </w:t>
      </w:r>
      <w:proofErr w:type="spellStart"/>
      <w:r w:rsidRPr="007A7AA8">
        <w:rPr>
          <w:rFonts w:ascii="Arial" w:hAnsi="Arial" w:cs="Arial"/>
          <w:b/>
          <w:sz w:val="16"/>
          <w:szCs w:val="16"/>
        </w:rPr>
        <w:t>are</w:t>
      </w:r>
      <w:proofErr w:type="spellEnd"/>
      <w:r w:rsidRPr="007A7AA8">
        <w:rPr>
          <w:rFonts w:ascii="Arial" w:hAnsi="Arial" w:cs="Arial"/>
          <w:b/>
          <w:sz w:val="16"/>
          <w:szCs w:val="16"/>
        </w:rPr>
        <w:t>:</w:t>
      </w:r>
      <w:r w:rsidRPr="007A7AA8">
        <w:rPr>
          <w:rFonts w:ascii="Arial" w:hAnsi="Arial" w:cs="Arial"/>
          <w:sz w:val="16"/>
          <w:szCs w:val="16"/>
        </w:rPr>
        <w:t xml:space="preserve"> CMS </w:t>
      </w:r>
      <w:proofErr w:type="spellStart"/>
      <w:r w:rsidRPr="007A7AA8">
        <w:rPr>
          <w:rFonts w:ascii="Arial" w:hAnsi="Arial" w:cs="Arial"/>
          <w:sz w:val="16"/>
          <w:szCs w:val="16"/>
        </w:rPr>
        <w:t>Adonnino</w:t>
      </w:r>
      <w:proofErr w:type="spellEnd"/>
      <w:r w:rsidRPr="007A7AA8">
        <w:rPr>
          <w:rFonts w:ascii="Arial" w:hAnsi="Arial" w:cs="Arial"/>
          <w:sz w:val="16"/>
          <w:szCs w:val="16"/>
        </w:rPr>
        <w:t xml:space="preserve"> </w:t>
      </w:r>
      <w:proofErr w:type="spellStart"/>
      <w:r w:rsidRPr="007A7AA8">
        <w:rPr>
          <w:rFonts w:ascii="Arial" w:hAnsi="Arial" w:cs="Arial"/>
          <w:sz w:val="16"/>
          <w:szCs w:val="16"/>
        </w:rPr>
        <w:t>Ascoli</w:t>
      </w:r>
      <w:proofErr w:type="spellEnd"/>
      <w:r w:rsidRPr="007A7AA8">
        <w:rPr>
          <w:rFonts w:ascii="Arial" w:hAnsi="Arial" w:cs="Arial"/>
          <w:sz w:val="16"/>
          <w:szCs w:val="16"/>
        </w:rPr>
        <w:t xml:space="preserve"> &amp; </w:t>
      </w:r>
      <w:proofErr w:type="spellStart"/>
      <w:r w:rsidRPr="007A7AA8">
        <w:rPr>
          <w:rFonts w:ascii="Arial" w:hAnsi="Arial" w:cs="Arial"/>
          <w:sz w:val="16"/>
          <w:szCs w:val="16"/>
        </w:rPr>
        <w:t>Cavasola</w:t>
      </w:r>
      <w:proofErr w:type="spellEnd"/>
      <w:r w:rsidRPr="007A7AA8">
        <w:rPr>
          <w:rFonts w:ascii="Arial" w:hAnsi="Arial" w:cs="Arial"/>
          <w:sz w:val="16"/>
          <w:szCs w:val="16"/>
        </w:rPr>
        <w:t xml:space="preserve"> </w:t>
      </w:r>
      <w:proofErr w:type="spellStart"/>
      <w:r w:rsidRPr="007A7AA8">
        <w:rPr>
          <w:rFonts w:ascii="Arial" w:hAnsi="Arial" w:cs="Arial"/>
          <w:sz w:val="16"/>
          <w:szCs w:val="16"/>
        </w:rPr>
        <w:t>Scamoni</w:t>
      </w:r>
      <w:proofErr w:type="spellEnd"/>
      <w:r w:rsidRPr="007A7AA8">
        <w:rPr>
          <w:rFonts w:ascii="Arial" w:hAnsi="Arial" w:cs="Arial"/>
          <w:sz w:val="16"/>
          <w:szCs w:val="16"/>
        </w:rPr>
        <w:t xml:space="preserve"> (</w:t>
      </w:r>
      <w:proofErr w:type="spellStart"/>
      <w:r w:rsidRPr="007A7AA8">
        <w:rPr>
          <w:rFonts w:ascii="Arial" w:hAnsi="Arial" w:cs="Arial"/>
          <w:sz w:val="16"/>
          <w:szCs w:val="16"/>
        </w:rPr>
        <w:t>Italy</w:t>
      </w:r>
      <w:proofErr w:type="spellEnd"/>
      <w:r w:rsidRPr="007A7AA8">
        <w:rPr>
          <w:rFonts w:ascii="Arial" w:hAnsi="Arial" w:cs="Arial"/>
          <w:sz w:val="16"/>
          <w:szCs w:val="16"/>
        </w:rPr>
        <w:t xml:space="preserve">); CMS </w:t>
      </w:r>
      <w:proofErr w:type="spellStart"/>
      <w:r w:rsidRPr="007A7AA8">
        <w:rPr>
          <w:rFonts w:ascii="Arial" w:hAnsi="Arial" w:cs="Arial"/>
          <w:sz w:val="16"/>
          <w:szCs w:val="16"/>
        </w:rPr>
        <w:t>Albiñana</w:t>
      </w:r>
      <w:proofErr w:type="spellEnd"/>
      <w:r w:rsidRPr="007A7AA8">
        <w:rPr>
          <w:rFonts w:ascii="Arial" w:hAnsi="Arial" w:cs="Arial"/>
          <w:sz w:val="16"/>
          <w:szCs w:val="16"/>
        </w:rPr>
        <w:t xml:space="preserve"> &amp; Suárez de </w:t>
      </w:r>
      <w:proofErr w:type="spellStart"/>
      <w:r w:rsidRPr="007A7AA8">
        <w:rPr>
          <w:rFonts w:ascii="Arial" w:hAnsi="Arial" w:cs="Arial"/>
          <w:sz w:val="16"/>
          <w:szCs w:val="16"/>
        </w:rPr>
        <w:t>Lezo</w:t>
      </w:r>
      <w:proofErr w:type="spellEnd"/>
      <w:r w:rsidRPr="007A7AA8">
        <w:rPr>
          <w:rFonts w:ascii="Arial" w:hAnsi="Arial" w:cs="Arial"/>
          <w:sz w:val="16"/>
          <w:szCs w:val="16"/>
        </w:rPr>
        <w:t xml:space="preserve">, S.L.P. (Spain); CMS </w:t>
      </w:r>
      <w:proofErr w:type="spellStart"/>
      <w:r w:rsidRPr="007A7AA8">
        <w:rPr>
          <w:rFonts w:ascii="Arial" w:hAnsi="Arial" w:cs="Arial"/>
          <w:sz w:val="16"/>
          <w:szCs w:val="16"/>
        </w:rPr>
        <w:t>Bureau</w:t>
      </w:r>
      <w:proofErr w:type="spellEnd"/>
      <w:r w:rsidRPr="007A7AA8">
        <w:rPr>
          <w:rFonts w:ascii="Arial" w:hAnsi="Arial" w:cs="Arial"/>
          <w:sz w:val="16"/>
          <w:szCs w:val="16"/>
        </w:rPr>
        <w:t xml:space="preserve"> Francis Lefebvre (France); CMS Cameron McKenna LLP (UK); CMS </w:t>
      </w:r>
      <w:proofErr w:type="spellStart"/>
      <w:r w:rsidRPr="007A7AA8">
        <w:rPr>
          <w:rFonts w:ascii="Arial" w:hAnsi="Arial" w:cs="Arial"/>
          <w:sz w:val="16"/>
          <w:szCs w:val="16"/>
        </w:rPr>
        <w:t>DeBacker</w:t>
      </w:r>
      <w:proofErr w:type="spellEnd"/>
      <w:r w:rsidRPr="007A7AA8">
        <w:rPr>
          <w:rFonts w:ascii="Arial" w:hAnsi="Arial" w:cs="Arial"/>
          <w:sz w:val="16"/>
          <w:szCs w:val="16"/>
        </w:rPr>
        <w:t xml:space="preserve"> </w:t>
      </w:r>
      <w:proofErr w:type="spellStart"/>
      <w:r w:rsidRPr="007A7AA8">
        <w:rPr>
          <w:rFonts w:ascii="Arial" w:hAnsi="Arial" w:cs="Arial"/>
          <w:sz w:val="16"/>
          <w:szCs w:val="16"/>
        </w:rPr>
        <w:t>Leclère</w:t>
      </w:r>
      <w:proofErr w:type="spellEnd"/>
      <w:r w:rsidRPr="007A7AA8">
        <w:rPr>
          <w:rFonts w:ascii="Arial" w:hAnsi="Arial" w:cs="Arial"/>
          <w:sz w:val="16"/>
          <w:szCs w:val="16"/>
        </w:rPr>
        <w:t xml:space="preserve"> </w:t>
      </w:r>
      <w:proofErr w:type="spellStart"/>
      <w:r w:rsidRPr="007A7AA8">
        <w:rPr>
          <w:rFonts w:ascii="Arial" w:hAnsi="Arial" w:cs="Arial"/>
          <w:sz w:val="16"/>
          <w:szCs w:val="16"/>
        </w:rPr>
        <w:t>Walry</w:t>
      </w:r>
      <w:proofErr w:type="spellEnd"/>
      <w:r w:rsidRPr="007A7AA8">
        <w:rPr>
          <w:rFonts w:ascii="Arial" w:hAnsi="Arial" w:cs="Arial"/>
          <w:sz w:val="16"/>
          <w:szCs w:val="16"/>
        </w:rPr>
        <w:t xml:space="preserve"> (</w:t>
      </w:r>
      <w:proofErr w:type="spellStart"/>
      <w:r w:rsidRPr="007A7AA8">
        <w:rPr>
          <w:rFonts w:ascii="Arial" w:hAnsi="Arial" w:cs="Arial"/>
          <w:sz w:val="16"/>
          <w:szCs w:val="16"/>
        </w:rPr>
        <w:t>Belgium</w:t>
      </w:r>
      <w:proofErr w:type="spellEnd"/>
      <w:r w:rsidRPr="007A7AA8">
        <w:rPr>
          <w:rFonts w:ascii="Arial" w:hAnsi="Arial" w:cs="Arial"/>
          <w:sz w:val="16"/>
          <w:szCs w:val="16"/>
        </w:rPr>
        <w:t xml:space="preserve">); CMS Derks Star </w:t>
      </w:r>
      <w:proofErr w:type="spellStart"/>
      <w:r w:rsidRPr="007A7AA8">
        <w:rPr>
          <w:rFonts w:ascii="Arial" w:hAnsi="Arial" w:cs="Arial"/>
          <w:sz w:val="16"/>
          <w:szCs w:val="16"/>
        </w:rPr>
        <w:t>Busmann</w:t>
      </w:r>
      <w:proofErr w:type="spellEnd"/>
      <w:r w:rsidRPr="007A7AA8">
        <w:rPr>
          <w:rFonts w:ascii="Arial" w:hAnsi="Arial" w:cs="Arial"/>
          <w:sz w:val="16"/>
          <w:szCs w:val="16"/>
        </w:rPr>
        <w:t xml:space="preserve"> (The </w:t>
      </w:r>
      <w:proofErr w:type="spellStart"/>
      <w:r w:rsidRPr="007A7AA8">
        <w:rPr>
          <w:rFonts w:ascii="Arial" w:hAnsi="Arial" w:cs="Arial"/>
          <w:sz w:val="16"/>
          <w:szCs w:val="16"/>
        </w:rPr>
        <w:t>Netherlands</w:t>
      </w:r>
      <w:proofErr w:type="spellEnd"/>
      <w:r w:rsidRPr="007A7AA8">
        <w:rPr>
          <w:rFonts w:ascii="Arial" w:hAnsi="Arial" w:cs="Arial"/>
          <w:sz w:val="16"/>
          <w:szCs w:val="16"/>
        </w:rPr>
        <w:t xml:space="preserve">); CMS von </w:t>
      </w:r>
      <w:proofErr w:type="spellStart"/>
      <w:r w:rsidRPr="007A7AA8">
        <w:rPr>
          <w:rFonts w:ascii="Arial" w:hAnsi="Arial" w:cs="Arial"/>
          <w:sz w:val="16"/>
          <w:szCs w:val="16"/>
        </w:rPr>
        <w:t>Erlach</w:t>
      </w:r>
      <w:proofErr w:type="spellEnd"/>
      <w:r w:rsidRPr="007A7AA8">
        <w:rPr>
          <w:rFonts w:ascii="Arial" w:hAnsi="Arial" w:cs="Arial"/>
          <w:sz w:val="16"/>
          <w:szCs w:val="16"/>
        </w:rPr>
        <w:t xml:space="preserve"> </w:t>
      </w:r>
      <w:proofErr w:type="spellStart"/>
      <w:r w:rsidRPr="007A7AA8">
        <w:rPr>
          <w:rFonts w:ascii="Arial" w:hAnsi="Arial" w:cs="Arial"/>
          <w:sz w:val="16"/>
          <w:szCs w:val="16"/>
        </w:rPr>
        <w:t>Henrici</w:t>
      </w:r>
      <w:proofErr w:type="spellEnd"/>
      <w:r w:rsidRPr="007A7AA8">
        <w:rPr>
          <w:rFonts w:ascii="Arial" w:hAnsi="Arial" w:cs="Arial"/>
          <w:sz w:val="16"/>
          <w:szCs w:val="16"/>
        </w:rPr>
        <w:t xml:space="preserve"> Ltd. </w:t>
      </w:r>
      <w:r w:rsidRPr="00B918CB">
        <w:rPr>
          <w:rFonts w:ascii="Arial" w:hAnsi="Arial" w:cs="Arial"/>
          <w:sz w:val="16"/>
          <w:szCs w:val="16"/>
        </w:rPr>
        <w:t>(</w:t>
      </w:r>
      <w:proofErr w:type="spellStart"/>
      <w:r w:rsidRPr="00B918CB">
        <w:rPr>
          <w:rFonts w:ascii="Arial" w:hAnsi="Arial" w:cs="Arial"/>
          <w:sz w:val="16"/>
          <w:szCs w:val="16"/>
        </w:rPr>
        <w:t>Switzerland</w:t>
      </w:r>
      <w:proofErr w:type="spellEnd"/>
      <w:r w:rsidRPr="00B918CB">
        <w:rPr>
          <w:rFonts w:ascii="Arial" w:hAnsi="Arial" w:cs="Arial"/>
          <w:sz w:val="16"/>
          <w:szCs w:val="16"/>
        </w:rPr>
        <w:t xml:space="preserve">); CMS Hasche Sigle (Germany) </w:t>
      </w:r>
      <w:proofErr w:type="spellStart"/>
      <w:r w:rsidRPr="00B918CB">
        <w:rPr>
          <w:rFonts w:ascii="Arial" w:hAnsi="Arial" w:cs="Arial"/>
          <w:sz w:val="16"/>
          <w:szCs w:val="16"/>
        </w:rPr>
        <w:t>and</w:t>
      </w:r>
      <w:proofErr w:type="spellEnd"/>
      <w:r w:rsidRPr="00B918CB">
        <w:rPr>
          <w:rFonts w:ascii="Arial" w:hAnsi="Arial" w:cs="Arial"/>
          <w:sz w:val="16"/>
          <w:szCs w:val="16"/>
        </w:rPr>
        <w:t xml:space="preserve"> CMS Reich-Rohrwig Hainz Rechtsanwälte GmbH (Austria).</w:t>
      </w:r>
    </w:p>
    <w:p w:rsidR="007A7AA8" w:rsidRPr="00B918CB" w:rsidRDefault="007A7AA8" w:rsidP="007A7AA8">
      <w:pPr>
        <w:ind w:right="-2"/>
        <w:rPr>
          <w:rFonts w:ascii="Arial" w:hAnsi="Arial" w:cs="Arial"/>
          <w:sz w:val="16"/>
          <w:szCs w:val="16"/>
        </w:rPr>
      </w:pPr>
    </w:p>
    <w:p w:rsidR="008907E1" w:rsidRPr="001771DC" w:rsidRDefault="007A7AA8" w:rsidP="007A7AA8">
      <w:pPr>
        <w:ind w:right="-2"/>
        <w:rPr>
          <w:lang w:val="en-GB"/>
        </w:rPr>
      </w:pPr>
      <w:r w:rsidRPr="001771DC">
        <w:rPr>
          <w:rFonts w:ascii="Arial" w:hAnsi="Arial" w:cs="Arial"/>
          <w:b/>
          <w:sz w:val="16"/>
          <w:szCs w:val="16"/>
          <w:lang w:val="en-GB"/>
        </w:rPr>
        <w:t>CMS offices and associated offices:</w:t>
      </w:r>
      <w:r w:rsidRPr="001771DC">
        <w:rPr>
          <w:rFonts w:ascii="Arial" w:hAnsi="Arial" w:cs="Arial"/>
          <w:sz w:val="16"/>
          <w:szCs w:val="16"/>
          <w:lang w:val="en-GB"/>
        </w:rPr>
        <w:t xml:space="preserve"> Amsterdam, Berlin, Brussels, London, Madrid, Paris, Rome, Vienna, Zurich, Aberdeen, Algiers, Antwerp, Beijing, Belgrade, Bratislava, Bristol, Bucharest, Budapest, Buenos Aires, Casablanca, Cologne, Dresden, </w:t>
      </w:r>
      <w:proofErr w:type="spellStart"/>
      <w:r w:rsidRPr="001771DC">
        <w:rPr>
          <w:rFonts w:ascii="Arial" w:hAnsi="Arial" w:cs="Arial"/>
          <w:sz w:val="16"/>
          <w:szCs w:val="16"/>
          <w:lang w:val="en-GB"/>
        </w:rPr>
        <w:t>Duesseldorf</w:t>
      </w:r>
      <w:proofErr w:type="spellEnd"/>
      <w:r w:rsidRPr="001771DC">
        <w:rPr>
          <w:rFonts w:ascii="Arial" w:hAnsi="Arial" w:cs="Arial"/>
          <w:sz w:val="16"/>
          <w:szCs w:val="16"/>
          <w:lang w:val="en-GB"/>
        </w:rPr>
        <w:t xml:space="preserve">, Edinburgh, Frankfurt, Hamburg, Kyiv, Leipzig, Ljubljana, Luxembourg, Lyon, Marbella, Milan, Montevideo, Moscow, Munich, Prague, Rio de Janeiro, Sarajevo, Seville, Shanghai, Sofia, Strasbourg, Stuttgart, </w:t>
      </w:r>
      <w:r w:rsidR="009D35F3" w:rsidRPr="001771DC">
        <w:rPr>
          <w:rFonts w:ascii="Arial" w:hAnsi="Arial" w:cs="Arial"/>
          <w:sz w:val="16"/>
          <w:szCs w:val="16"/>
          <w:lang w:val="en-GB"/>
        </w:rPr>
        <w:t xml:space="preserve">Tirana, </w:t>
      </w:r>
      <w:r w:rsidRPr="001771DC">
        <w:rPr>
          <w:rFonts w:ascii="Arial" w:hAnsi="Arial" w:cs="Arial"/>
          <w:sz w:val="16"/>
          <w:szCs w:val="16"/>
          <w:lang w:val="en-GB"/>
        </w:rPr>
        <w:t>Utrecht, Warsaw and Zagreb.</w:t>
      </w:r>
      <w:r w:rsidR="008907E1" w:rsidRPr="001771DC">
        <w:rPr>
          <w:rFonts w:ascii="Arial" w:hAnsi="Arial" w:cs="Arial"/>
          <w:sz w:val="16"/>
          <w:szCs w:val="16"/>
          <w:lang w:val="en-GB"/>
        </w:rPr>
        <w:t xml:space="preserve"> </w:t>
      </w:r>
    </w:p>
    <w:p w:rsidR="00C8763F" w:rsidRPr="001771DC" w:rsidRDefault="00C8763F" w:rsidP="00C8763F">
      <w:pPr>
        <w:pStyle w:val="Beilagen"/>
        <w:spacing w:line="360" w:lineRule="exact"/>
        <w:ind w:left="0" w:firstLine="0"/>
        <w:rPr>
          <w:rFonts w:ascii="Arial" w:hAnsi="Arial" w:cs="Arial"/>
          <w:sz w:val="24"/>
          <w:szCs w:val="24"/>
          <w:lang w:val="en-GB"/>
        </w:rPr>
      </w:pPr>
    </w:p>
    <w:sectPr w:rsidR="00C8763F" w:rsidRPr="001771DC" w:rsidSect="008C02DD">
      <w:headerReference w:type="default" r:id="rId10"/>
      <w:headerReference w:type="first" r:id="rId11"/>
      <w:footerReference w:type="first" r:id="rId12"/>
      <w:pgSz w:w="11906" w:h="16838" w:code="9"/>
      <w:pgMar w:top="1134" w:right="1134" w:bottom="1418" w:left="1418" w:header="102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1DC" w:rsidRDefault="001771DC">
      <w:r>
        <w:separator/>
      </w:r>
    </w:p>
  </w:endnote>
  <w:endnote w:type="continuationSeparator" w:id="0">
    <w:p w:rsidR="001771DC" w:rsidRDefault="0017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FD" w:rsidRPr="00493096" w:rsidRDefault="006D2DFD" w:rsidP="00493096">
    <w:pPr>
      <w:spacing w:line="200" w:lineRule="exact"/>
      <w:rPr>
        <w:rStyle w:val="Third"/>
        <w:rFonts w:ascii="Arial Narrow" w:hAnsi="Arial Narrow"/>
        <w:b/>
        <w:bCs/>
        <w:color w:val="00478F"/>
        <w:lang w:val="nl-BE"/>
      </w:rPr>
    </w:pPr>
    <w:smartTag w:uri="urn:schemas-microsoft-com:office:smarttags" w:element="PersonName">
      <w:r>
        <w:rPr>
          <w:rStyle w:val="Third"/>
          <w:rFonts w:ascii="Arial Narrow" w:hAnsi="Arial Narrow"/>
          <w:b/>
          <w:bCs/>
          <w:color w:val="00478F"/>
          <w:lang w:val="nl-BE"/>
        </w:rPr>
        <w:t>CMS R</w:t>
      </w:r>
      <w:r w:rsidRPr="00493096">
        <w:rPr>
          <w:rStyle w:val="Third"/>
          <w:rFonts w:ascii="Arial Narrow" w:hAnsi="Arial Narrow"/>
          <w:b/>
          <w:bCs/>
          <w:color w:val="00478F"/>
          <w:lang w:val="nl-BE"/>
        </w:rPr>
        <w:t>eich-Rohrwig Hainz</w:t>
      </w:r>
    </w:smartTag>
    <w:r w:rsidRPr="00493096">
      <w:rPr>
        <w:rStyle w:val="Third"/>
        <w:rFonts w:ascii="Arial Narrow" w:hAnsi="Arial Narrow"/>
        <w:b/>
        <w:bCs/>
        <w:color w:val="00478F"/>
        <w:lang w:val="nl-BE"/>
      </w:rPr>
      <w:t xml:space="preserve">: </w:t>
    </w:r>
    <w:r w:rsidRPr="00493096">
      <w:rPr>
        <w:rStyle w:val="Third"/>
        <w:rFonts w:ascii="Arial Narrow" w:hAnsi="Arial Narrow"/>
        <w:b/>
        <w:bCs/>
        <w:lang w:val="nl-BE"/>
      </w:rPr>
      <w:t xml:space="preserve">Vienna, Belgrade, Bratislava, Brussels, </w:t>
    </w:r>
    <w:r>
      <w:rPr>
        <w:rStyle w:val="Third"/>
        <w:rFonts w:ascii="Arial Narrow" w:hAnsi="Arial Narrow"/>
        <w:b/>
        <w:bCs/>
        <w:lang w:val="nl-BE"/>
      </w:rPr>
      <w:t xml:space="preserve">Kyiv, Ljubljana, Sarajevo, </w:t>
    </w:r>
    <w:r w:rsidRPr="00493096">
      <w:rPr>
        <w:rStyle w:val="Third"/>
        <w:rFonts w:ascii="Arial Narrow" w:hAnsi="Arial Narrow"/>
        <w:b/>
        <w:bCs/>
        <w:lang w:val="nl-BE"/>
      </w:rPr>
      <w:t>Sofia, Zagreb</w:t>
    </w:r>
  </w:p>
  <w:p w:rsidR="006D2DFD" w:rsidRPr="00493096" w:rsidRDefault="006D2DFD" w:rsidP="00493096">
    <w:pPr>
      <w:pStyle w:val="Randunten2"/>
      <w:tabs>
        <w:tab w:val="left" w:pos="705"/>
        <w:tab w:val="left" w:pos="6165"/>
      </w:tabs>
      <w:spacing w:line="120" w:lineRule="exact"/>
      <w:ind w:left="0" w:right="0"/>
      <w:jc w:val="left"/>
      <w:rPr>
        <w:rFonts w:ascii="Arial Narrow" w:hAnsi="Arial Narrow"/>
        <w:caps w:val="0"/>
        <w:color w:val="000000"/>
        <w:spacing w:val="0"/>
        <w:sz w:val="10"/>
        <w:szCs w:val="10"/>
        <w:lang w:val="nl-BE"/>
      </w:rPr>
    </w:pPr>
  </w:p>
  <w:p w:rsidR="006D2DFD" w:rsidRPr="00FC7E04" w:rsidRDefault="006D2DFD" w:rsidP="00A44F8F">
    <w:pPr>
      <w:pStyle w:val="Fuzeile"/>
      <w:spacing w:line="200" w:lineRule="exact"/>
      <w:rPr>
        <w:rStyle w:val="Third"/>
        <w:rFonts w:ascii="Arial Narrow" w:hAnsi="Arial Narrow"/>
        <w:bCs/>
        <w:noProof/>
        <w:lang w:val="nl-BE"/>
      </w:rPr>
    </w:pPr>
    <w:r w:rsidRPr="00493096">
      <w:rPr>
        <w:rFonts w:ascii="Arial Narrow" w:hAnsi="Arial Narrow"/>
        <w:color w:val="00478F"/>
        <w:sz w:val="13"/>
        <w:lang w:val="nl-BE"/>
      </w:rPr>
      <w:t xml:space="preserve">CMS Reich-Rohrwig Hainz </w:t>
    </w:r>
    <w:r w:rsidRPr="00493096">
      <w:rPr>
        <w:rFonts w:ascii="Arial Narrow" w:hAnsi="Arial Narrow"/>
        <w:sz w:val="13"/>
        <w:lang w:val="nl-BE"/>
      </w:rPr>
      <w:t>is a member of</w:t>
    </w:r>
    <w:r w:rsidRPr="00493096">
      <w:rPr>
        <w:rFonts w:ascii="Arial Narrow" w:hAnsi="Arial Narrow"/>
        <w:color w:val="00478F"/>
        <w:sz w:val="13"/>
        <w:lang w:val="nl-BE"/>
      </w:rPr>
      <w:t xml:space="preserve"> </w:t>
    </w:r>
    <w:r w:rsidRPr="00493096">
      <w:rPr>
        <w:rStyle w:val="Third"/>
        <w:rFonts w:ascii="Arial Narrow" w:hAnsi="Arial Narrow"/>
        <w:bCs/>
        <w:color w:val="00478F"/>
        <w:lang w:val="nl-BE"/>
      </w:rPr>
      <w:t>CMS</w:t>
    </w:r>
    <w:r w:rsidRPr="00493096">
      <w:rPr>
        <w:rFonts w:ascii="Arial Narrow" w:hAnsi="Arial Narrow"/>
        <w:color w:val="000000"/>
        <w:sz w:val="13"/>
        <w:lang w:val="nl-BE"/>
      </w:rPr>
      <w:t xml:space="preserve">, the </w:t>
    </w:r>
    <w:r>
      <w:rPr>
        <w:rFonts w:ascii="Arial Narrow" w:hAnsi="Arial Narrow"/>
        <w:color w:val="000000"/>
        <w:sz w:val="13"/>
        <w:lang w:val="nl-BE"/>
      </w:rPr>
      <w:t>organisation</w:t>
    </w:r>
    <w:r w:rsidRPr="00493096">
      <w:rPr>
        <w:rFonts w:ascii="Arial Narrow" w:hAnsi="Arial Narrow"/>
        <w:color w:val="000000"/>
        <w:sz w:val="13"/>
        <w:lang w:val="nl-BE"/>
      </w:rPr>
      <w:t xml:space="preserve"> of major European law firms: </w:t>
    </w:r>
    <w:r w:rsidRPr="00762601">
      <w:rPr>
        <w:rStyle w:val="Third"/>
        <w:rFonts w:ascii="Arial Narrow" w:hAnsi="Arial Narrow"/>
        <w:bCs/>
        <w:lang w:val="nl-BE"/>
      </w:rPr>
      <w:t>Aberdeen, Algiers, Amsterdam, Antwerp, Beijing, Belgrade, Berlin, Bratislava, Bristol, Brussels, Bucharest, Budapest, Buenos Aires, Casablanca, Cologne, Dresden, Dusseldorf, Edinburgh, Frankfurt, Hamburg, Kyiv, Leipzig, Ljubljana, London,</w:t>
    </w:r>
    <w:r>
      <w:rPr>
        <w:rStyle w:val="Third"/>
        <w:rFonts w:ascii="Arial Narrow" w:hAnsi="Arial Narrow"/>
        <w:bCs/>
        <w:lang w:val="nl-BE"/>
      </w:rPr>
      <w:t xml:space="preserve"> Luxembourg, </w:t>
    </w:r>
    <w:r w:rsidRPr="00762601">
      <w:rPr>
        <w:rStyle w:val="Third"/>
        <w:rFonts w:ascii="Arial Narrow" w:hAnsi="Arial Narrow"/>
        <w:bCs/>
        <w:lang w:val="nl-BE"/>
      </w:rPr>
      <w:t xml:space="preserve">Lyon, Madrid, Marbella, Milan, Montevideo, Moscow, Munich, New York, Paris, Prague, Rome, </w:t>
    </w:r>
    <w:r>
      <w:rPr>
        <w:rStyle w:val="Third"/>
        <w:rFonts w:ascii="Arial Narrow" w:hAnsi="Arial Narrow"/>
        <w:bCs/>
        <w:lang w:val="nl-BE"/>
      </w:rPr>
      <w:t>Rio de Janeiro</w:t>
    </w:r>
    <w:r w:rsidRPr="00762601">
      <w:rPr>
        <w:rStyle w:val="Third"/>
        <w:rFonts w:ascii="Arial Narrow" w:hAnsi="Arial Narrow"/>
        <w:bCs/>
        <w:lang w:val="nl-BE"/>
      </w:rPr>
      <w:t>, Sarajevo, Seville, Shanghai, Sofia, Strasbourg, Stuttgart, Utrecht, Vienna, Warsaw, Zagreb, Zurich.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1DC" w:rsidRDefault="001771DC">
      <w:r>
        <w:separator/>
      </w:r>
    </w:p>
  </w:footnote>
  <w:footnote w:type="continuationSeparator" w:id="0">
    <w:p w:rsidR="001771DC" w:rsidRDefault="00177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FD" w:rsidRDefault="006D2DFD">
    <w:pPr>
      <w:pStyle w:val="Kopfzeile"/>
      <w:tabs>
        <w:tab w:val="clear" w:pos="4536"/>
        <w:tab w:val="clear" w:pos="9072"/>
        <w:tab w:val="center" w:pos="4678"/>
        <w:tab w:val="right" w:pos="9356"/>
      </w:tabs>
      <w:rPr>
        <w:rStyle w:val="Seitenzahl"/>
        <w:sz w:val="22"/>
      </w:rPr>
    </w:pPr>
    <w:r>
      <w:rPr>
        <w:rStyle w:val="Seitenzahl"/>
        <w:sz w:val="22"/>
      </w:rPr>
      <w:tab/>
    </w:r>
    <w:r>
      <w:rPr>
        <w:noProof/>
        <w:lang w:eastAsia="de-AT"/>
      </w:rPr>
      <w:drawing>
        <wp:inline distT="0" distB="0" distL="0" distR="0">
          <wp:extent cx="1765300" cy="175895"/>
          <wp:effectExtent l="0" t="0" r="6350" b="0"/>
          <wp:docPr id="1" name="Bild 1" descr="blau_weiss_JPG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u_weiss_JPGgro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175895"/>
                  </a:xfrm>
                  <a:prstGeom prst="rect">
                    <a:avLst/>
                  </a:prstGeom>
                  <a:noFill/>
                  <a:ln>
                    <a:noFill/>
                  </a:ln>
                </pic:spPr>
              </pic:pic>
            </a:graphicData>
          </a:graphic>
        </wp:inline>
      </w:drawing>
    </w:r>
    <w:r>
      <w:rPr>
        <w:rStyle w:val="Seitenzahl"/>
        <w:sz w:val="22"/>
      </w:rPr>
      <w:tab/>
    </w:r>
    <w:r>
      <w:rPr>
        <w:rStyle w:val="Seitenzahl"/>
        <w:sz w:val="22"/>
      </w:rPr>
      <w:fldChar w:fldCharType="begin"/>
    </w:r>
    <w:r>
      <w:rPr>
        <w:rStyle w:val="Seitenzahl"/>
        <w:sz w:val="22"/>
      </w:rPr>
      <w:instrText xml:space="preserve"> PAGE </w:instrText>
    </w:r>
    <w:r>
      <w:rPr>
        <w:rStyle w:val="Seitenzahl"/>
        <w:sz w:val="22"/>
      </w:rPr>
      <w:fldChar w:fldCharType="separate"/>
    </w:r>
    <w:r w:rsidR="00067AF7">
      <w:rPr>
        <w:rStyle w:val="Seitenzahl"/>
        <w:noProof/>
        <w:sz w:val="22"/>
      </w:rPr>
      <w:t>2</w:t>
    </w:r>
    <w:r>
      <w:rPr>
        <w:rStyle w:val="Seitenzahl"/>
        <w:sz w:val="22"/>
      </w:rPr>
      <w:fldChar w:fldCharType="end"/>
    </w:r>
  </w:p>
  <w:p w:rsidR="006D2DFD" w:rsidRDefault="006D2DFD">
    <w:pPr>
      <w:pStyle w:val="Kopfzeile"/>
      <w:tabs>
        <w:tab w:val="clear" w:pos="4536"/>
        <w:tab w:val="clear" w:pos="9072"/>
        <w:tab w:val="center" w:pos="4678"/>
        <w:tab w:val="right" w:pos="9356"/>
      </w:tabs>
      <w:rPr>
        <w:rStyle w:val="Seitenzahl"/>
        <w:sz w:val="22"/>
      </w:rPr>
    </w:pPr>
  </w:p>
  <w:p w:rsidR="006D2DFD" w:rsidRDefault="006D2DFD">
    <w:pPr>
      <w:pStyle w:val="Kopfzeile"/>
      <w:tabs>
        <w:tab w:val="clear" w:pos="4536"/>
        <w:tab w:val="clear" w:pos="9072"/>
        <w:tab w:val="center" w:pos="4678"/>
        <w:tab w:val="right" w:pos="9356"/>
      </w:tabs>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FD" w:rsidRPr="005E7F5F" w:rsidRDefault="009E69EB" w:rsidP="009E69EB">
    <w:pPr>
      <w:pStyle w:val="Kopfzeile"/>
      <w:jc w:val="right"/>
      <w:rPr>
        <w:rFonts w:ascii="Arial" w:hAnsi="Arial"/>
        <w:sz w:val="13"/>
      </w:rPr>
    </w:pPr>
    <w:r>
      <w:rPr>
        <w:noProof/>
        <w:lang w:eastAsia="de-AT"/>
      </w:rPr>
      <w:drawing>
        <wp:inline distT="0" distB="0" distL="0" distR="0" wp14:anchorId="565AAC2D" wp14:editId="6F8C0F04">
          <wp:extent cx="1009650" cy="59580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MSLawTa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3866" cy="5982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F0075"/>
    <w:multiLevelType w:val="multilevel"/>
    <w:tmpl w:val="3C84FDEE"/>
    <w:styleLink w:val="CMS-Dash"/>
    <w:lvl w:ilvl="0">
      <w:start w:val="1"/>
      <w:numFmt w:val="bullet"/>
      <w:pStyle w:val="CMSDash"/>
      <w:lvlText w:val="-"/>
      <w:lvlJc w:val="left"/>
      <w:pPr>
        <w:tabs>
          <w:tab w:val="num" w:pos="1134"/>
        </w:tabs>
        <w:ind w:left="1134" w:hanging="567"/>
      </w:pPr>
      <w:rPr>
        <w:rFonts w:ascii="Times New Roman" w:hAnsi="Times New Roman" w:cs="Times New Roman" w:hint="default"/>
      </w:rPr>
    </w:lvl>
    <w:lvl w:ilvl="1">
      <w:start w:val="1"/>
      <w:numFmt w:val="bullet"/>
      <w:lvlText w:val="-"/>
      <w:lvlJc w:val="left"/>
      <w:pPr>
        <w:tabs>
          <w:tab w:val="num" w:pos="1134"/>
        </w:tabs>
        <w:ind w:left="1134" w:hanging="567"/>
      </w:pPr>
      <w:rPr>
        <w:rFonts w:ascii="Arial" w:hAnsi="Arial" w:cs="Times New Roman" w:hint="default"/>
      </w:rPr>
    </w:lvl>
    <w:lvl w:ilvl="2">
      <w:start w:val="1"/>
      <w:numFmt w:val="bullet"/>
      <w:lvlText w:val="-"/>
      <w:lvlJc w:val="left"/>
      <w:pPr>
        <w:tabs>
          <w:tab w:val="num" w:pos="1701"/>
        </w:tabs>
        <w:ind w:left="1701" w:hanging="567"/>
      </w:pPr>
      <w:rPr>
        <w:rFonts w:ascii="Arial" w:hAnsi="Arial" w:cs="Times New Roman" w:hint="default"/>
      </w:rPr>
    </w:lvl>
    <w:lvl w:ilvl="3">
      <w:start w:val="1"/>
      <w:numFmt w:val="bullet"/>
      <w:lvlText w:val="-"/>
      <w:lvlJc w:val="left"/>
      <w:pPr>
        <w:tabs>
          <w:tab w:val="num" w:pos="2268"/>
        </w:tabs>
        <w:ind w:left="2268" w:hanging="567"/>
      </w:pPr>
      <w:rPr>
        <w:rFonts w:ascii="Arial" w:hAnsi="Arial" w:cs="Times New Roman" w:hint="default"/>
      </w:rPr>
    </w:lvl>
    <w:lvl w:ilvl="4">
      <w:start w:val="1"/>
      <w:numFmt w:val="bullet"/>
      <w:lvlText w:val="-"/>
      <w:lvlJc w:val="left"/>
      <w:pPr>
        <w:tabs>
          <w:tab w:val="num" w:pos="2381"/>
        </w:tabs>
        <w:ind w:left="2381" w:hanging="396"/>
      </w:pPr>
      <w:rPr>
        <w:rFonts w:ascii="Arial" w:hAnsi="Arial" w:cs="Times New Roman" w:hint="default"/>
      </w:rPr>
    </w:lvl>
    <w:lvl w:ilvl="5">
      <w:start w:val="1"/>
      <w:numFmt w:val="bullet"/>
      <w:lvlText w:val="-"/>
      <w:lvlJc w:val="left"/>
      <w:pPr>
        <w:tabs>
          <w:tab w:val="num" w:pos="2722"/>
        </w:tabs>
        <w:ind w:left="2722" w:hanging="341"/>
      </w:pPr>
      <w:rPr>
        <w:rFonts w:ascii="Arial" w:hAnsi="Arial" w:cs="Times New Roman" w:hint="default"/>
      </w:rPr>
    </w:lvl>
    <w:lvl w:ilvl="6">
      <w:start w:val="1"/>
      <w:numFmt w:val="bullet"/>
      <w:lvlText w:val="-"/>
      <w:lvlJc w:val="left"/>
      <w:pPr>
        <w:tabs>
          <w:tab w:val="num" w:pos="284"/>
        </w:tabs>
        <w:ind w:left="284" w:hanging="284"/>
      </w:pPr>
      <w:rPr>
        <w:rFonts w:ascii="Arial" w:hAnsi="Arial" w:cs="Times New Roman" w:hint="default"/>
      </w:rPr>
    </w:lvl>
    <w:lvl w:ilvl="7">
      <w:start w:val="1"/>
      <w:numFmt w:val="bullet"/>
      <w:lvlText w:val="-"/>
      <w:lvlJc w:val="left"/>
      <w:pPr>
        <w:tabs>
          <w:tab w:val="num" w:pos="284"/>
        </w:tabs>
        <w:ind w:left="284" w:hanging="284"/>
      </w:pPr>
      <w:rPr>
        <w:rFonts w:ascii="Arial" w:hAnsi="Arial" w:cs="Times New Roman" w:hint="default"/>
      </w:rPr>
    </w:lvl>
    <w:lvl w:ilvl="8">
      <w:start w:val="1"/>
      <w:numFmt w:val="bullet"/>
      <w:lvlText w:val="-"/>
      <w:lvlJc w:val="left"/>
      <w:pPr>
        <w:tabs>
          <w:tab w:val="num" w:pos="284"/>
        </w:tabs>
        <w:ind w:left="284" w:hanging="284"/>
      </w:pPr>
      <w:rPr>
        <w:rFonts w:ascii="Arial" w:hAnsi="Arial" w:cs="Times New Roman" w:hint="default"/>
      </w:rPr>
    </w:lvl>
  </w:abstractNum>
  <w:abstractNum w:abstractNumId="1">
    <w:nsid w:val="776B0C3C"/>
    <w:multiLevelType w:val="hybridMultilevel"/>
    <w:tmpl w:val="13C823D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DC"/>
    <w:rsid w:val="00015F2D"/>
    <w:rsid w:val="00023B59"/>
    <w:rsid w:val="0004226C"/>
    <w:rsid w:val="00045898"/>
    <w:rsid w:val="00050F4D"/>
    <w:rsid w:val="000515F8"/>
    <w:rsid w:val="0006414F"/>
    <w:rsid w:val="00067AF7"/>
    <w:rsid w:val="00073B99"/>
    <w:rsid w:val="00091005"/>
    <w:rsid w:val="000A5136"/>
    <w:rsid w:val="000C7256"/>
    <w:rsid w:val="000D1005"/>
    <w:rsid w:val="000D100D"/>
    <w:rsid w:val="000E4972"/>
    <w:rsid w:val="000F4E48"/>
    <w:rsid w:val="000F6236"/>
    <w:rsid w:val="001047E1"/>
    <w:rsid w:val="0013322C"/>
    <w:rsid w:val="00147ABE"/>
    <w:rsid w:val="00147D48"/>
    <w:rsid w:val="001502A5"/>
    <w:rsid w:val="0015041A"/>
    <w:rsid w:val="00175D55"/>
    <w:rsid w:val="001771DC"/>
    <w:rsid w:val="00194BE5"/>
    <w:rsid w:val="001B3B15"/>
    <w:rsid w:val="001B789B"/>
    <w:rsid w:val="001E2352"/>
    <w:rsid w:val="001F0EA3"/>
    <w:rsid w:val="0021662D"/>
    <w:rsid w:val="002230A9"/>
    <w:rsid w:val="002406F9"/>
    <w:rsid w:val="0024304B"/>
    <w:rsid w:val="0024649C"/>
    <w:rsid w:val="002544C3"/>
    <w:rsid w:val="00272E4C"/>
    <w:rsid w:val="00283B8C"/>
    <w:rsid w:val="002B5E0E"/>
    <w:rsid w:val="002C2CC6"/>
    <w:rsid w:val="002E6F32"/>
    <w:rsid w:val="002E7410"/>
    <w:rsid w:val="002F423A"/>
    <w:rsid w:val="00324661"/>
    <w:rsid w:val="003248E0"/>
    <w:rsid w:val="00337295"/>
    <w:rsid w:val="00345B7E"/>
    <w:rsid w:val="0035043B"/>
    <w:rsid w:val="00355C08"/>
    <w:rsid w:val="0036690A"/>
    <w:rsid w:val="0037433E"/>
    <w:rsid w:val="00374609"/>
    <w:rsid w:val="00397BB2"/>
    <w:rsid w:val="003A06ED"/>
    <w:rsid w:val="003C0088"/>
    <w:rsid w:val="003C7A70"/>
    <w:rsid w:val="003C7CAE"/>
    <w:rsid w:val="003D5025"/>
    <w:rsid w:val="003E2442"/>
    <w:rsid w:val="003E7838"/>
    <w:rsid w:val="003F1DC4"/>
    <w:rsid w:val="003F26BA"/>
    <w:rsid w:val="00401A38"/>
    <w:rsid w:val="00407A24"/>
    <w:rsid w:val="004216D0"/>
    <w:rsid w:val="0042462B"/>
    <w:rsid w:val="0042488B"/>
    <w:rsid w:val="0043099B"/>
    <w:rsid w:val="00441CFE"/>
    <w:rsid w:val="0044731D"/>
    <w:rsid w:val="00452051"/>
    <w:rsid w:val="00462B02"/>
    <w:rsid w:val="004645CE"/>
    <w:rsid w:val="00493096"/>
    <w:rsid w:val="00496B32"/>
    <w:rsid w:val="004A7CD9"/>
    <w:rsid w:val="004C155F"/>
    <w:rsid w:val="004C4A29"/>
    <w:rsid w:val="004D1844"/>
    <w:rsid w:val="004E51EB"/>
    <w:rsid w:val="00530044"/>
    <w:rsid w:val="0053460B"/>
    <w:rsid w:val="005348CD"/>
    <w:rsid w:val="00547A15"/>
    <w:rsid w:val="00552DB1"/>
    <w:rsid w:val="00553C34"/>
    <w:rsid w:val="00564FA0"/>
    <w:rsid w:val="005726B5"/>
    <w:rsid w:val="00572C18"/>
    <w:rsid w:val="00590C5E"/>
    <w:rsid w:val="00594306"/>
    <w:rsid w:val="00596976"/>
    <w:rsid w:val="005C4AA2"/>
    <w:rsid w:val="005D1542"/>
    <w:rsid w:val="005D3DC1"/>
    <w:rsid w:val="005E7F5F"/>
    <w:rsid w:val="005F0B60"/>
    <w:rsid w:val="005F41E6"/>
    <w:rsid w:val="005F4ECE"/>
    <w:rsid w:val="006040C9"/>
    <w:rsid w:val="00604FA0"/>
    <w:rsid w:val="00626243"/>
    <w:rsid w:val="00631E5F"/>
    <w:rsid w:val="0063562B"/>
    <w:rsid w:val="006455EF"/>
    <w:rsid w:val="006474AF"/>
    <w:rsid w:val="00656027"/>
    <w:rsid w:val="00664B40"/>
    <w:rsid w:val="00665FE3"/>
    <w:rsid w:val="00696E9D"/>
    <w:rsid w:val="006A6BED"/>
    <w:rsid w:val="006B28B0"/>
    <w:rsid w:val="006C09B0"/>
    <w:rsid w:val="006C6EE7"/>
    <w:rsid w:val="006D2DFD"/>
    <w:rsid w:val="0070220A"/>
    <w:rsid w:val="007171E2"/>
    <w:rsid w:val="00720281"/>
    <w:rsid w:val="007213C4"/>
    <w:rsid w:val="00737505"/>
    <w:rsid w:val="00742AEC"/>
    <w:rsid w:val="007522FA"/>
    <w:rsid w:val="00762601"/>
    <w:rsid w:val="00765111"/>
    <w:rsid w:val="00773A82"/>
    <w:rsid w:val="007762D7"/>
    <w:rsid w:val="00783624"/>
    <w:rsid w:val="007934F5"/>
    <w:rsid w:val="007A4535"/>
    <w:rsid w:val="007A47A8"/>
    <w:rsid w:val="007A7AA8"/>
    <w:rsid w:val="007B1467"/>
    <w:rsid w:val="007B64F1"/>
    <w:rsid w:val="007D6093"/>
    <w:rsid w:val="00800DCF"/>
    <w:rsid w:val="00803408"/>
    <w:rsid w:val="00810100"/>
    <w:rsid w:val="0082058D"/>
    <w:rsid w:val="008225E6"/>
    <w:rsid w:val="008231D6"/>
    <w:rsid w:val="00823891"/>
    <w:rsid w:val="00824A2D"/>
    <w:rsid w:val="00851C61"/>
    <w:rsid w:val="00852988"/>
    <w:rsid w:val="00863BB0"/>
    <w:rsid w:val="0087453E"/>
    <w:rsid w:val="0088444B"/>
    <w:rsid w:val="008907E1"/>
    <w:rsid w:val="0089262D"/>
    <w:rsid w:val="008B3B44"/>
    <w:rsid w:val="008B6FA2"/>
    <w:rsid w:val="008C02DD"/>
    <w:rsid w:val="008C0798"/>
    <w:rsid w:val="008C1A95"/>
    <w:rsid w:val="008C5BD2"/>
    <w:rsid w:val="008E20AE"/>
    <w:rsid w:val="008E32AB"/>
    <w:rsid w:val="009163CE"/>
    <w:rsid w:val="00940F5E"/>
    <w:rsid w:val="00942D95"/>
    <w:rsid w:val="009475F9"/>
    <w:rsid w:val="009516DF"/>
    <w:rsid w:val="00951C3A"/>
    <w:rsid w:val="00956FD0"/>
    <w:rsid w:val="00961EDB"/>
    <w:rsid w:val="009652E8"/>
    <w:rsid w:val="009714DB"/>
    <w:rsid w:val="00973854"/>
    <w:rsid w:val="0098419C"/>
    <w:rsid w:val="009A0150"/>
    <w:rsid w:val="009B3A64"/>
    <w:rsid w:val="009C676A"/>
    <w:rsid w:val="009D2602"/>
    <w:rsid w:val="009D35F3"/>
    <w:rsid w:val="009E5FE9"/>
    <w:rsid w:val="009E69EB"/>
    <w:rsid w:val="009E7E59"/>
    <w:rsid w:val="009F7E59"/>
    <w:rsid w:val="00A02E9A"/>
    <w:rsid w:val="00A11E33"/>
    <w:rsid w:val="00A17CFC"/>
    <w:rsid w:val="00A27C5A"/>
    <w:rsid w:val="00A3004D"/>
    <w:rsid w:val="00A3416E"/>
    <w:rsid w:val="00A44A17"/>
    <w:rsid w:val="00A44F8F"/>
    <w:rsid w:val="00A60122"/>
    <w:rsid w:val="00A67C26"/>
    <w:rsid w:val="00A71962"/>
    <w:rsid w:val="00A82ED7"/>
    <w:rsid w:val="00A964B9"/>
    <w:rsid w:val="00AA0940"/>
    <w:rsid w:val="00AB656C"/>
    <w:rsid w:val="00AC0FE4"/>
    <w:rsid w:val="00AC245D"/>
    <w:rsid w:val="00AC58DD"/>
    <w:rsid w:val="00AC71EC"/>
    <w:rsid w:val="00AE4BAF"/>
    <w:rsid w:val="00AE50F9"/>
    <w:rsid w:val="00B0078B"/>
    <w:rsid w:val="00B03958"/>
    <w:rsid w:val="00B051CF"/>
    <w:rsid w:val="00B11D7E"/>
    <w:rsid w:val="00B61E6E"/>
    <w:rsid w:val="00B65879"/>
    <w:rsid w:val="00B7145E"/>
    <w:rsid w:val="00B71600"/>
    <w:rsid w:val="00B75B07"/>
    <w:rsid w:val="00B845FD"/>
    <w:rsid w:val="00B90FEA"/>
    <w:rsid w:val="00B947BC"/>
    <w:rsid w:val="00B968AB"/>
    <w:rsid w:val="00BA4FFE"/>
    <w:rsid w:val="00BB0F7E"/>
    <w:rsid w:val="00BC3F49"/>
    <w:rsid w:val="00BE5469"/>
    <w:rsid w:val="00BE5E72"/>
    <w:rsid w:val="00BF3E68"/>
    <w:rsid w:val="00C01FC1"/>
    <w:rsid w:val="00C027C8"/>
    <w:rsid w:val="00C05718"/>
    <w:rsid w:val="00C15923"/>
    <w:rsid w:val="00C20138"/>
    <w:rsid w:val="00C2224E"/>
    <w:rsid w:val="00C30582"/>
    <w:rsid w:val="00C42A75"/>
    <w:rsid w:val="00C4555E"/>
    <w:rsid w:val="00C474C2"/>
    <w:rsid w:val="00C5040B"/>
    <w:rsid w:val="00C51766"/>
    <w:rsid w:val="00C52F8F"/>
    <w:rsid w:val="00C615CC"/>
    <w:rsid w:val="00C67DB2"/>
    <w:rsid w:val="00C743FB"/>
    <w:rsid w:val="00C80C38"/>
    <w:rsid w:val="00C85664"/>
    <w:rsid w:val="00C8763F"/>
    <w:rsid w:val="00CA126B"/>
    <w:rsid w:val="00CA1FA5"/>
    <w:rsid w:val="00CB026C"/>
    <w:rsid w:val="00CC088B"/>
    <w:rsid w:val="00CD4198"/>
    <w:rsid w:val="00CD7E19"/>
    <w:rsid w:val="00CE193E"/>
    <w:rsid w:val="00CF10AF"/>
    <w:rsid w:val="00D072EC"/>
    <w:rsid w:val="00D074F4"/>
    <w:rsid w:val="00D1163C"/>
    <w:rsid w:val="00D17203"/>
    <w:rsid w:val="00D35472"/>
    <w:rsid w:val="00D36E85"/>
    <w:rsid w:val="00D40729"/>
    <w:rsid w:val="00D40756"/>
    <w:rsid w:val="00D57108"/>
    <w:rsid w:val="00D57A03"/>
    <w:rsid w:val="00D63258"/>
    <w:rsid w:val="00D8203B"/>
    <w:rsid w:val="00D906D5"/>
    <w:rsid w:val="00D9163B"/>
    <w:rsid w:val="00D91719"/>
    <w:rsid w:val="00DE18C9"/>
    <w:rsid w:val="00DE2F13"/>
    <w:rsid w:val="00DF12A6"/>
    <w:rsid w:val="00DF3974"/>
    <w:rsid w:val="00DF7528"/>
    <w:rsid w:val="00E03151"/>
    <w:rsid w:val="00E0537D"/>
    <w:rsid w:val="00E05A3C"/>
    <w:rsid w:val="00E1039E"/>
    <w:rsid w:val="00E31F9B"/>
    <w:rsid w:val="00E32462"/>
    <w:rsid w:val="00E336C1"/>
    <w:rsid w:val="00E460F0"/>
    <w:rsid w:val="00E51306"/>
    <w:rsid w:val="00E55630"/>
    <w:rsid w:val="00E62F03"/>
    <w:rsid w:val="00E70B13"/>
    <w:rsid w:val="00E8465A"/>
    <w:rsid w:val="00E85520"/>
    <w:rsid w:val="00EB737C"/>
    <w:rsid w:val="00EC539A"/>
    <w:rsid w:val="00ED1D20"/>
    <w:rsid w:val="00F02333"/>
    <w:rsid w:val="00F1414F"/>
    <w:rsid w:val="00F21953"/>
    <w:rsid w:val="00F34284"/>
    <w:rsid w:val="00F521B1"/>
    <w:rsid w:val="00F7013D"/>
    <w:rsid w:val="00F84D18"/>
    <w:rsid w:val="00F9025C"/>
    <w:rsid w:val="00F948C4"/>
    <w:rsid w:val="00F95057"/>
    <w:rsid w:val="00FA1478"/>
    <w:rsid w:val="00FA5D3D"/>
    <w:rsid w:val="00FB3782"/>
    <w:rsid w:val="00FC7E04"/>
    <w:rsid w:val="00FD11A0"/>
    <w:rsid w:val="00FD3858"/>
    <w:rsid w:val="00FD4A7D"/>
    <w:rsid w:val="00FE2FB6"/>
    <w:rsid w:val="00FE6A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6"/>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rechts">
    <w:name w:val="Rand rechts"/>
    <w:pPr>
      <w:framePr w:w="3450" w:h="3594" w:hSpace="142" w:wrap="around" w:vAnchor="text" w:hAnchor="page" w:x="7337" w:y="610"/>
      <w:tabs>
        <w:tab w:val="left" w:pos="426"/>
        <w:tab w:val="left" w:pos="1786"/>
        <w:tab w:val="right" w:pos="2268"/>
      </w:tabs>
      <w:spacing w:before="20"/>
    </w:pPr>
    <w:rPr>
      <w:rFonts w:ascii="Arial" w:hAnsi="Arial"/>
      <w:sz w:val="13"/>
      <w:lang w:val="de-DE" w:eastAsia="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ndunten1">
    <w:name w:val="Rand unten 1"/>
    <w:basedOn w:val="berschrift1"/>
    <w:pPr>
      <w:spacing w:before="0" w:after="0" w:line="200" w:lineRule="exact"/>
      <w:ind w:left="851" w:right="851"/>
    </w:pPr>
    <w:rPr>
      <w:b w:val="0"/>
      <w:spacing w:val="30"/>
      <w:kern w:val="0"/>
      <w:sz w:val="12"/>
    </w:rPr>
  </w:style>
  <w:style w:type="paragraph" w:customStyle="1" w:styleId="Randunten2">
    <w:name w:val="Rand unten 2"/>
    <w:basedOn w:val="Standard"/>
    <w:link w:val="Randunten2Zchn"/>
    <w:pPr>
      <w:spacing w:line="200" w:lineRule="exact"/>
      <w:ind w:left="851" w:right="851"/>
    </w:pPr>
    <w:rPr>
      <w:rFonts w:ascii="Arial" w:hAnsi="Arial"/>
      <w:caps/>
      <w:spacing w:val="4"/>
      <w:sz w:val="12"/>
    </w:rPr>
  </w:style>
  <w:style w:type="character" w:styleId="Seitenzahl">
    <w:name w:val="page number"/>
    <w:basedOn w:val="Absatz-Standardschriftart"/>
  </w:style>
  <w:style w:type="paragraph" w:customStyle="1" w:styleId="Randrechts3">
    <w:name w:val="Rand rechts 3"/>
    <w:pPr>
      <w:spacing w:before="20"/>
    </w:pPr>
    <w:rPr>
      <w:rFonts w:ascii="Arial" w:hAnsi="Arial"/>
      <w:noProof/>
      <w:sz w:val="16"/>
      <w:lang w:val="de-DE" w:eastAsia="de-DE"/>
    </w:rPr>
  </w:style>
  <w:style w:type="paragraph" w:customStyle="1" w:styleId="Kopf1">
    <w:name w:val="Kopf 1"/>
    <w:basedOn w:val="Standard"/>
    <w:pPr>
      <w:jc w:val="left"/>
    </w:pPr>
    <w:rPr>
      <w:b/>
      <w:spacing w:val="20"/>
      <w:sz w:val="36"/>
    </w:rPr>
  </w:style>
  <w:style w:type="paragraph" w:customStyle="1" w:styleId="Kopf2">
    <w:name w:val="Kopf 2"/>
    <w:basedOn w:val="Standard"/>
    <w:pPr>
      <w:spacing w:after="240" w:line="220" w:lineRule="exact"/>
      <w:ind w:right="25"/>
    </w:pPr>
    <w:rPr>
      <w:sz w:val="24"/>
    </w:rPr>
  </w:style>
  <w:style w:type="paragraph" w:customStyle="1" w:styleId="Randrechts2">
    <w:name w:val="Rand rechts 2"/>
    <w:pPr>
      <w:framePr w:w="2304" w:h="6912" w:hSpace="141" w:wrap="auto" w:vAnchor="page" w:hAnchor="margin" w:x="7655" w:y="7776" w:anchorLock="1"/>
      <w:pBdr>
        <w:top w:val="single" w:sz="6" w:space="0" w:color="FFFFFF"/>
        <w:left w:val="single" w:sz="6" w:space="0" w:color="FFFFFF"/>
        <w:bottom w:val="single" w:sz="6" w:space="0" w:color="FFFFFF"/>
        <w:right w:val="single" w:sz="6" w:space="0" w:color="FFFFFF"/>
      </w:pBdr>
      <w:shd w:val="solid" w:color="FFFFFF" w:fill="FFFFFF"/>
      <w:spacing w:before="20"/>
    </w:pPr>
    <w:rPr>
      <w:rFonts w:ascii="Arial" w:hAnsi="Arial"/>
      <w:sz w:val="22"/>
      <w:lang w:val="de-DE" w:eastAsia="de-DE"/>
    </w:rPr>
  </w:style>
  <w:style w:type="paragraph" w:styleId="Sprechblasentext">
    <w:name w:val="Balloon Text"/>
    <w:basedOn w:val="Standard"/>
    <w:semiHidden/>
    <w:rsid w:val="001502A5"/>
    <w:rPr>
      <w:rFonts w:ascii="Tahoma" w:hAnsi="Tahoma" w:cs="Tahoma"/>
      <w:sz w:val="16"/>
      <w:szCs w:val="16"/>
    </w:rPr>
  </w:style>
  <w:style w:type="paragraph" w:customStyle="1" w:styleId="Kopf">
    <w:name w:val="Kopf"/>
    <w:pPr>
      <w:ind w:left="1843" w:hanging="1843"/>
    </w:pPr>
    <w:rPr>
      <w:sz w:val="24"/>
      <w:lang w:val="de-DE" w:eastAsia="de-DE"/>
    </w:rPr>
  </w:style>
  <w:style w:type="paragraph" w:customStyle="1" w:styleId="Briefkopf1">
    <w:name w:val="Briefkopf 1"/>
    <w:pPr>
      <w:spacing w:before="170"/>
      <w:jc w:val="center"/>
    </w:pPr>
    <w:rPr>
      <w:rFonts w:ascii="Arial" w:hAnsi="Arial"/>
      <w:caps/>
      <w:noProof/>
      <w:spacing w:val="30"/>
      <w:sz w:val="12"/>
      <w:lang w:val="de-DE" w:eastAsia="de-DE"/>
    </w:rPr>
  </w:style>
  <w:style w:type="paragraph" w:customStyle="1" w:styleId="Briefkopf2">
    <w:name w:val="Briefkopf 2"/>
    <w:pPr>
      <w:spacing w:before="360"/>
      <w:jc w:val="center"/>
    </w:pPr>
    <w:rPr>
      <w:noProof/>
      <w:spacing w:val="30"/>
      <w:sz w:val="36"/>
      <w:lang w:val="de-DE" w:eastAsia="de-DE"/>
    </w:rPr>
  </w:style>
  <w:style w:type="paragraph" w:customStyle="1" w:styleId="Betrifft">
    <w:name w:val="Betrifft"/>
    <w:basedOn w:val="Standard"/>
    <w:pPr>
      <w:ind w:left="993" w:hanging="993"/>
    </w:pPr>
  </w:style>
  <w:style w:type="paragraph" w:customStyle="1" w:styleId="Beilagen">
    <w:name w:val="Beilagen"/>
    <w:basedOn w:val="Standard"/>
    <w:pPr>
      <w:ind w:left="426" w:right="-2" w:hanging="426"/>
    </w:pPr>
    <w:rPr>
      <w:sz w:val="22"/>
    </w:rPr>
  </w:style>
  <w:style w:type="paragraph" w:customStyle="1" w:styleId="Abschlu">
    <w:name w:val="Abschluß"/>
    <w:basedOn w:val="Standard"/>
    <w:pPr>
      <w:tabs>
        <w:tab w:val="center" w:pos="5245"/>
        <w:tab w:val="center" w:pos="7088"/>
      </w:tabs>
    </w:pPr>
  </w:style>
  <w:style w:type="character" w:styleId="Hyperlink">
    <w:name w:val="Hyperlink"/>
    <w:basedOn w:val="Absatz-Standardschriftart"/>
    <w:rsid w:val="00147ABE"/>
    <w:rPr>
      <w:color w:val="0000FF"/>
      <w:u w:val="single"/>
    </w:rPr>
  </w:style>
  <w:style w:type="character" w:customStyle="1" w:styleId="Randunten2Zchn">
    <w:name w:val="Rand unten 2 Zchn"/>
    <w:basedOn w:val="Absatz-Standardschriftart"/>
    <w:link w:val="Randunten2"/>
    <w:rsid w:val="00091005"/>
    <w:rPr>
      <w:rFonts w:ascii="Arial" w:hAnsi="Arial"/>
      <w:caps/>
      <w:spacing w:val="4"/>
      <w:sz w:val="12"/>
      <w:lang w:val="de-AT" w:eastAsia="de-DE" w:bidi="ar-SA"/>
    </w:rPr>
  </w:style>
  <w:style w:type="character" w:customStyle="1" w:styleId="Third">
    <w:name w:val="Third"/>
    <w:basedOn w:val="Absatz-Standardschriftart"/>
    <w:rsid w:val="00091005"/>
    <w:rPr>
      <w:rFonts w:ascii="Arial" w:hAnsi="Arial" w:hint="default"/>
      <w:sz w:val="13"/>
      <w:szCs w:val="13"/>
    </w:rPr>
  </w:style>
  <w:style w:type="paragraph" w:styleId="StandardWeb">
    <w:name w:val="Normal (Web)"/>
    <w:basedOn w:val="Standard"/>
    <w:rsid w:val="008907E1"/>
    <w:pPr>
      <w:spacing w:before="100" w:beforeAutospacing="1" w:after="100" w:afterAutospacing="1"/>
      <w:jc w:val="left"/>
    </w:pPr>
    <w:rPr>
      <w:color w:val="333333"/>
      <w:sz w:val="24"/>
      <w:szCs w:val="24"/>
      <w:lang w:val="de-DE"/>
    </w:rPr>
  </w:style>
  <w:style w:type="character" w:styleId="Fett">
    <w:name w:val="Strong"/>
    <w:basedOn w:val="Absatz-Standardschriftart"/>
    <w:qFormat/>
    <w:rsid w:val="008907E1"/>
    <w:rPr>
      <w:b/>
      <w:bCs/>
    </w:rPr>
  </w:style>
  <w:style w:type="paragraph" w:customStyle="1" w:styleId="CMSIndent2">
    <w:name w:val="CMS Indent 2"/>
    <w:basedOn w:val="Standard"/>
    <w:qFormat/>
    <w:rsid w:val="001771DC"/>
    <w:pPr>
      <w:adjustRightInd w:val="0"/>
      <w:snapToGrid w:val="0"/>
      <w:spacing w:before="120" w:after="120" w:line="340" w:lineRule="atLeast"/>
      <w:ind w:left="567"/>
      <w:jc w:val="left"/>
    </w:pPr>
    <w:rPr>
      <w:rFonts w:asciiTheme="minorHAnsi" w:hAnsiTheme="minorHAnsi"/>
      <w:sz w:val="24"/>
      <w:szCs w:val="24"/>
      <w:lang w:val="de-DE"/>
    </w:rPr>
  </w:style>
  <w:style w:type="paragraph" w:customStyle="1" w:styleId="CMSDash">
    <w:name w:val="CMS Dash"/>
    <w:basedOn w:val="Standard"/>
    <w:qFormat/>
    <w:rsid w:val="001771DC"/>
    <w:pPr>
      <w:numPr>
        <w:numId w:val="1"/>
      </w:numPr>
      <w:adjustRightInd w:val="0"/>
      <w:snapToGrid w:val="0"/>
      <w:spacing w:after="120" w:line="340" w:lineRule="atLeast"/>
      <w:jc w:val="left"/>
    </w:pPr>
    <w:rPr>
      <w:rFonts w:asciiTheme="minorHAnsi" w:hAnsiTheme="minorHAnsi"/>
      <w:sz w:val="24"/>
      <w:szCs w:val="24"/>
      <w:lang w:val="de-DE"/>
    </w:rPr>
  </w:style>
  <w:style w:type="numbering" w:customStyle="1" w:styleId="CMS-Dash">
    <w:name w:val="CMS-Dash"/>
    <w:rsid w:val="001771DC"/>
    <w:pPr>
      <w:numPr>
        <w:numId w:val="1"/>
      </w:numPr>
    </w:pPr>
  </w:style>
  <w:style w:type="paragraph" w:styleId="Listenabsatz">
    <w:name w:val="List Paragraph"/>
    <w:basedOn w:val="Standard"/>
    <w:uiPriority w:val="34"/>
    <w:qFormat/>
    <w:rsid w:val="001771DC"/>
    <w:pPr>
      <w:ind w:left="720"/>
      <w:jc w:val="left"/>
    </w:pPr>
    <w:rPr>
      <w:rFonts w:ascii="Calibri" w:eastAsiaTheme="minorHAns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6"/>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rechts">
    <w:name w:val="Rand rechts"/>
    <w:pPr>
      <w:framePr w:w="3450" w:h="3594" w:hSpace="142" w:wrap="around" w:vAnchor="text" w:hAnchor="page" w:x="7337" w:y="610"/>
      <w:tabs>
        <w:tab w:val="left" w:pos="426"/>
        <w:tab w:val="left" w:pos="1786"/>
        <w:tab w:val="right" w:pos="2268"/>
      </w:tabs>
      <w:spacing w:before="20"/>
    </w:pPr>
    <w:rPr>
      <w:rFonts w:ascii="Arial" w:hAnsi="Arial"/>
      <w:sz w:val="13"/>
      <w:lang w:val="de-DE" w:eastAsia="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ndunten1">
    <w:name w:val="Rand unten 1"/>
    <w:basedOn w:val="berschrift1"/>
    <w:pPr>
      <w:spacing w:before="0" w:after="0" w:line="200" w:lineRule="exact"/>
      <w:ind w:left="851" w:right="851"/>
    </w:pPr>
    <w:rPr>
      <w:b w:val="0"/>
      <w:spacing w:val="30"/>
      <w:kern w:val="0"/>
      <w:sz w:val="12"/>
    </w:rPr>
  </w:style>
  <w:style w:type="paragraph" w:customStyle="1" w:styleId="Randunten2">
    <w:name w:val="Rand unten 2"/>
    <w:basedOn w:val="Standard"/>
    <w:link w:val="Randunten2Zchn"/>
    <w:pPr>
      <w:spacing w:line="200" w:lineRule="exact"/>
      <w:ind w:left="851" w:right="851"/>
    </w:pPr>
    <w:rPr>
      <w:rFonts w:ascii="Arial" w:hAnsi="Arial"/>
      <w:caps/>
      <w:spacing w:val="4"/>
      <w:sz w:val="12"/>
    </w:rPr>
  </w:style>
  <w:style w:type="character" w:styleId="Seitenzahl">
    <w:name w:val="page number"/>
    <w:basedOn w:val="Absatz-Standardschriftart"/>
  </w:style>
  <w:style w:type="paragraph" w:customStyle="1" w:styleId="Randrechts3">
    <w:name w:val="Rand rechts 3"/>
    <w:pPr>
      <w:spacing w:before="20"/>
    </w:pPr>
    <w:rPr>
      <w:rFonts w:ascii="Arial" w:hAnsi="Arial"/>
      <w:noProof/>
      <w:sz w:val="16"/>
      <w:lang w:val="de-DE" w:eastAsia="de-DE"/>
    </w:rPr>
  </w:style>
  <w:style w:type="paragraph" w:customStyle="1" w:styleId="Kopf1">
    <w:name w:val="Kopf 1"/>
    <w:basedOn w:val="Standard"/>
    <w:pPr>
      <w:jc w:val="left"/>
    </w:pPr>
    <w:rPr>
      <w:b/>
      <w:spacing w:val="20"/>
      <w:sz w:val="36"/>
    </w:rPr>
  </w:style>
  <w:style w:type="paragraph" w:customStyle="1" w:styleId="Kopf2">
    <w:name w:val="Kopf 2"/>
    <w:basedOn w:val="Standard"/>
    <w:pPr>
      <w:spacing w:after="240" w:line="220" w:lineRule="exact"/>
      <w:ind w:right="25"/>
    </w:pPr>
    <w:rPr>
      <w:sz w:val="24"/>
    </w:rPr>
  </w:style>
  <w:style w:type="paragraph" w:customStyle="1" w:styleId="Randrechts2">
    <w:name w:val="Rand rechts 2"/>
    <w:pPr>
      <w:framePr w:w="2304" w:h="6912" w:hSpace="141" w:wrap="auto" w:vAnchor="page" w:hAnchor="margin" w:x="7655" w:y="7776" w:anchorLock="1"/>
      <w:pBdr>
        <w:top w:val="single" w:sz="6" w:space="0" w:color="FFFFFF"/>
        <w:left w:val="single" w:sz="6" w:space="0" w:color="FFFFFF"/>
        <w:bottom w:val="single" w:sz="6" w:space="0" w:color="FFFFFF"/>
        <w:right w:val="single" w:sz="6" w:space="0" w:color="FFFFFF"/>
      </w:pBdr>
      <w:shd w:val="solid" w:color="FFFFFF" w:fill="FFFFFF"/>
      <w:spacing w:before="20"/>
    </w:pPr>
    <w:rPr>
      <w:rFonts w:ascii="Arial" w:hAnsi="Arial"/>
      <w:sz w:val="22"/>
      <w:lang w:val="de-DE" w:eastAsia="de-DE"/>
    </w:rPr>
  </w:style>
  <w:style w:type="paragraph" w:styleId="Sprechblasentext">
    <w:name w:val="Balloon Text"/>
    <w:basedOn w:val="Standard"/>
    <w:semiHidden/>
    <w:rsid w:val="001502A5"/>
    <w:rPr>
      <w:rFonts w:ascii="Tahoma" w:hAnsi="Tahoma" w:cs="Tahoma"/>
      <w:sz w:val="16"/>
      <w:szCs w:val="16"/>
    </w:rPr>
  </w:style>
  <w:style w:type="paragraph" w:customStyle="1" w:styleId="Kopf">
    <w:name w:val="Kopf"/>
    <w:pPr>
      <w:ind w:left="1843" w:hanging="1843"/>
    </w:pPr>
    <w:rPr>
      <w:sz w:val="24"/>
      <w:lang w:val="de-DE" w:eastAsia="de-DE"/>
    </w:rPr>
  </w:style>
  <w:style w:type="paragraph" w:customStyle="1" w:styleId="Briefkopf1">
    <w:name w:val="Briefkopf 1"/>
    <w:pPr>
      <w:spacing w:before="170"/>
      <w:jc w:val="center"/>
    </w:pPr>
    <w:rPr>
      <w:rFonts w:ascii="Arial" w:hAnsi="Arial"/>
      <w:caps/>
      <w:noProof/>
      <w:spacing w:val="30"/>
      <w:sz w:val="12"/>
      <w:lang w:val="de-DE" w:eastAsia="de-DE"/>
    </w:rPr>
  </w:style>
  <w:style w:type="paragraph" w:customStyle="1" w:styleId="Briefkopf2">
    <w:name w:val="Briefkopf 2"/>
    <w:pPr>
      <w:spacing w:before="360"/>
      <w:jc w:val="center"/>
    </w:pPr>
    <w:rPr>
      <w:noProof/>
      <w:spacing w:val="30"/>
      <w:sz w:val="36"/>
      <w:lang w:val="de-DE" w:eastAsia="de-DE"/>
    </w:rPr>
  </w:style>
  <w:style w:type="paragraph" w:customStyle="1" w:styleId="Betrifft">
    <w:name w:val="Betrifft"/>
    <w:basedOn w:val="Standard"/>
    <w:pPr>
      <w:ind w:left="993" w:hanging="993"/>
    </w:pPr>
  </w:style>
  <w:style w:type="paragraph" w:customStyle="1" w:styleId="Beilagen">
    <w:name w:val="Beilagen"/>
    <w:basedOn w:val="Standard"/>
    <w:pPr>
      <w:ind w:left="426" w:right="-2" w:hanging="426"/>
    </w:pPr>
    <w:rPr>
      <w:sz w:val="22"/>
    </w:rPr>
  </w:style>
  <w:style w:type="paragraph" w:customStyle="1" w:styleId="Abschlu">
    <w:name w:val="Abschluß"/>
    <w:basedOn w:val="Standard"/>
    <w:pPr>
      <w:tabs>
        <w:tab w:val="center" w:pos="5245"/>
        <w:tab w:val="center" w:pos="7088"/>
      </w:tabs>
    </w:pPr>
  </w:style>
  <w:style w:type="character" w:styleId="Hyperlink">
    <w:name w:val="Hyperlink"/>
    <w:basedOn w:val="Absatz-Standardschriftart"/>
    <w:rsid w:val="00147ABE"/>
    <w:rPr>
      <w:color w:val="0000FF"/>
      <w:u w:val="single"/>
    </w:rPr>
  </w:style>
  <w:style w:type="character" w:customStyle="1" w:styleId="Randunten2Zchn">
    <w:name w:val="Rand unten 2 Zchn"/>
    <w:basedOn w:val="Absatz-Standardschriftart"/>
    <w:link w:val="Randunten2"/>
    <w:rsid w:val="00091005"/>
    <w:rPr>
      <w:rFonts w:ascii="Arial" w:hAnsi="Arial"/>
      <w:caps/>
      <w:spacing w:val="4"/>
      <w:sz w:val="12"/>
      <w:lang w:val="de-AT" w:eastAsia="de-DE" w:bidi="ar-SA"/>
    </w:rPr>
  </w:style>
  <w:style w:type="character" w:customStyle="1" w:styleId="Third">
    <w:name w:val="Third"/>
    <w:basedOn w:val="Absatz-Standardschriftart"/>
    <w:rsid w:val="00091005"/>
    <w:rPr>
      <w:rFonts w:ascii="Arial" w:hAnsi="Arial" w:hint="default"/>
      <w:sz w:val="13"/>
      <w:szCs w:val="13"/>
    </w:rPr>
  </w:style>
  <w:style w:type="paragraph" w:styleId="StandardWeb">
    <w:name w:val="Normal (Web)"/>
    <w:basedOn w:val="Standard"/>
    <w:rsid w:val="008907E1"/>
    <w:pPr>
      <w:spacing w:before="100" w:beforeAutospacing="1" w:after="100" w:afterAutospacing="1"/>
      <w:jc w:val="left"/>
    </w:pPr>
    <w:rPr>
      <w:color w:val="333333"/>
      <w:sz w:val="24"/>
      <w:szCs w:val="24"/>
      <w:lang w:val="de-DE"/>
    </w:rPr>
  </w:style>
  <w:style w:type="character" w:styleId="Fett">
    <w:name w:val="Strong"/>
    <w:basedOn w:val="Absatz-Standardschriftart"/>
    <w:qFormat/>
    <w:rsid w:val="008907E1"/>
    <w:rPr>
      <w:b/>
      <w:bCs/>
    </w:rPr>
  </w:style>
  <w:style w:type="paragraph" w:customStyle="1" w:styleId="CMSIndent2">
    <w:name w:val="CMS Indent 2"/>
    <w:basedOn w:val="Standard"/>
    <w:qFormat/>
    <w:rsid w:val="001771DC"/>
    <w:pPr>
      <w:adjustRightInd w:val="0"/>
      <w:snapToGrid w:val="0"/>
      <w:spacing w:before="120" w:after="120" w:line="340" w:lineRule="atLeast"/>
      <w:ind w:left="567"/>
      <w:jc w:val="left"/>
    </w:pPr>
    <w:rPr>
      <w:rFonts w:asciiTheme="minorHAnsi" w:hAnsiTheme="minorHAnsi"/>
      <w:sz w:val="24"/>
      <w:szCs w:val="24"/>
      <w:lang w:val="de-DE"/>
    </w:rPr>
  </w:style>
  <w:style w:type="paragraph" w:customStyle="1" w:styleId="CMSDash">
    <w:name w:val="CMS Dash"/>
    <w:basedOn w:val="Standard"/>
    <w:qFormat/>
    <w:rsid w:val="001771DC"/>
    <w:pPr>
      <w:numPr>
        <w:numId w:val="1"/>
      </w:numPr>
      <w:adjustRightInd w:val="0"/>
      <w:snapToGrid w:val="0"/>
      <w:spacing w:after="120" w:line="340" w:lineRule="atLeast"/>
      <w:jc w:val="left"/>
    </w:pPr>
    <w:rPr>
      <w:rFonts w:asciiTheme="minorHAnsi" w:hAnsiTheme="minorHAnsi"/>
      <w:sz w:val="24"/>
      <w:szCs w:val="24"/>
      <w:lang w:val="de-DE"/>
    </w:rPr>
  </w:style>
  <w:style w:type="numbering" w:customStyle="1" w:styleId="CMS-Dash">
    <w:name w:val="CMS-Dash"/>
    <w:rsid w:val="001771DC"/>
    <w:pPr>
      <w:numPr>
        <w:numId w:val="1"/>
      </w:numPr>
    </w:pPr>
  </w:style>
  <w:style w:type="paragraph" w:styleId="Listenabsatz">
    <w:name w:val="List Paragraph"/>
    <w:basedOn w:val="Standard"/>
    <w:uiPriority w:val="34"/>
    <w:qFormat/>
    <w:rsid w:val="001771DC"/>
    <w:pPr>
      <w:ind w:left="720"/>
      <w:jc w:val="left"/>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76948">
      <w:bodyDiv w:val="1"/>
      <w:marLeft w:val="0"/>
      <w:marRight w:val="0"/>
      <w:marTop w:val="0"/>
      <w:marBottom w:val="0"/>
      <w:divBdr>
        <w:top w:val="none" w:sz="0" w:space="0" w:color="auto"/>
        <w:left w:val="none" w:sz="0" w:space="0" w:color="auto"/>
        <w:bottom w:val="none" w:sz="0" w:space="0" w:color="auto"/>
        <w:right w:val="none" w:sz="0" w:space="0" w:color="auto"/>
      </w:divBdr>
      <w:divsChild>
        <w:div w:id="495194227">
          <w:marLeft w:val="0"/>
          <w:marRight w:val="0"/>
          <w:marTop w:val="0"/>
          <w:marBottom w:val="0"/>
          <w:divBdr>
            <w:top w:val="none" w:sz="0" w:space="0" w:color="auto"/>
            <w:left w:val="none" w:sz="0" w:space="0" w:color="auto"/>
            <w:bottom w:val="none" w:sz="0" w:space="0" w:color="auto"/>
            <w:right w:val="none" w:sz="0" w:space="0" w:color="auto"/>
          </w:divBdr>
        </w:div>
      </w:divsChild>
    </w:div>
    <w:div w:id="1052927839">
      <w:bodyDiv w:val="1"/>
      <w:marLeft w:val="0"/>
      <w:marRight w:val="0"/>
      <w:marTop w:val="0"/>
      <w:marBottom w:val="0"/>
      <w:divBdr>
        <w:top w:val="none" w:sz="0" w:space="0" w:color="auto"/>
        <w:left w:val="none" w:sz="0" w:space="0" w:color="auto"/>
        <w:bottom w:val="none" w:sz="0" w:space="0" w:color="auto"/>
        <w:right w:val="none" w:sz="0" w:space="0" w:color="auto"/>
      </w:divBdr>
      <w:divsChild>
        <w:div w:id="668992337">
          <w:marLeft w:val="0"/>
          <w:marRight w:val="0"/>
          <w:marTop w:val="0"/>
          <w:marBottom w:val="0"/>
          <w:divBdr>
            <w:top w:val="none" w:sz="0" w:space="0" w:color="auto"/>
            <w:left w:val="none" w:sz="0" w:space="0" w:color="auto"/>
            <w:bottom w:val="none" w:sz="0" w:space="0" w:color="auto"/>
            <w:right w:val="none" w:sz="0" w:space="0" w:color="auto"/>
          </w:divBdr>
        </w:div>
      </w:divsChild>
    </w:div>
    <w:div w:id="15245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jana.lastro@cms-rrh.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ms-rrh.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Homepage\www.cms-rrh.com\sharepoint_server\pressrelease\_PR_CMSRRH_Name_DT_Datu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_PR_CMSRRH_Name_DT_Datum</Template>
  <TotalTime>0</TotalTime>
  <Pages>3</Pages>
  <Words>1098</Words>
  <Characters>6925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Presseinformation</vt:lpstr>
    </vt:vector>
  </TitlesOfParts>
  <Company>CMS Reich-Rohrwig Hainz Rechtsanwälte GmbH</Company>
  <LinksUpToDate>false</LinksUpToDate>
  <CharactersWithSpaces>8007</CharactersWithSpaces>
  <SharedDoc>false</SharedDoc>
  <HLinks>
    <vt:vector size="18" baseType="variant">
      <vt:variant>
        <vt:i4>5308500</vt:i4>
      </vt:variant>
      <vt:variant>
        <vt:i4>6</vt:i4>
      </vt:variant>
      <vt:variant>
        <vt:i4>0</vt:i4>
      </vt:variant>
      <vt:variant>
        <vt:i4>5</vt:i4>
      </vt:variant>
      <vt:variant>
        <vt:lpwstr>http://www.cmslegal.com/</vt:lpwstr>
      </vt:variant>
      <vt:variant>
        <vt:lpwstr/>
      </vt:variant>
      <vt:variant>
        <vt:i4>3080227</vt:i4>
      </vt:variant>
      <vt:variant>
        <vt:i4>3</vt:i4>
      </vt:variant>
      <vt:variant>
        <vt:i4>0</vt:i4>
      </vt:variant>
      <vt:variant>
        <vt:i4>5</vt:i4>
      </vt:variant>
      <vt:variant>
        <vt:lpwstr>http://www.cms-rrh.com/</vt:lpwstr>
      </vt:variant>
      <vt:variant>
        <vt:lpwstr/>
      </vt:variant>
      <vt:variant>
        <vt:i4>4194428</vt:i4>
      </vt:variant>
      <vt:variant>
        <vt:i4>0</vt:i4>
      </vt:variant>
      <vt:variant>
        <vt:i4>0</vt:i4>
      </vt:variant>
      <vt:variant>
        <vt:i4>5</vt:i4>
      </vt:variant>
      <vt:variant>
        <vt:lpwstr>mailto:kristijana.lastro@cms-rrh.com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Christoph Breitenecker</dc:creator>
  <cp:lastModifiedBy>Christoph Breitenecker</cp:lastModifiedBy>
  <cp:revision>1</cp:revision>
  <cp:lastPrinted>2006-09-04T11:12:00Z</cp:lastPrinted>
  <dcterms:created xsi:type="dcterms:W3CDTF">2011-11-28T10:09:00Z</dcterms:created>
  <dcterms:modified xsi:type="dcterms:W3CDTF">2011-11-28T10:15:00Z</dcterms:modified>
</cp:coreProperties>
</file>