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C8763F" w:rsidRPr="00C743FB" w:rsidRDefault="0042462B" w:rsidP="00C8763F">
      <w:pPr>
        <w:rPr>
          <w:rFonts w:ascii="Arial" w:hAnsi="Arial" w:cs="Arial"/>
          <w:noProof/>
          <w:sz w:val="20"/>
          <w:lang w:val="de-DE"/>
        </w:rPr>
      </w:pPr>
      <w:r>
        <w:rPr>
          <w:rFonts w:ascii="Arial" w:hAnsi="Arial" w:cs="Arial"/>
          <w:noProof/>
          <w:sz w:val="20"/>
          <w:lang w:val="de-DE"/>
        </w:rPr>
        <w:t xml:space="preserve">Wien, </w:t>
      </w:r>
    </w:p>
    <w:p w:rsidR="00C8763F" w:rsidRPr="00C743FB" w:rsidRDefault="00C8763F" w:rsidP="00C8763F">
      <w:pPr>
        <w:rPr>
          <w:rFonts w:ascii="Arial" w:hAnsi="Arial" w:cs="Arial"/>
          <w:noProof/>
          <w:sz w:val="20"/>
          <w:lang w:val="de-DE"/>
        </w:rPr>
      </w:pPr>
    </w:p>
    <w:p w:rsidR="00DB6CFA" w:rsidRPr="00DB6CFA" w:rsidRDefault="00DB6CFA" w:rsidP="00DB6CFA">
      <w:pPr>
        <w:rPr>
          <w:rFonts w:ascii="Arial" w:hAnsi="Arial" w:cs="Arial"/>
          <w:b/>
          <w:bCs/>
          <w:sz w:val="20"/>
          <w:lang w:val="de-DE"/>
        </w:rPr>
      </w:pPr>
      <w:r w:rsidRPr="00DB6CFA">
        <w:rPr>
          <w:rFonts w:ascii="Arial" w:eastAsia="Arial" w:hAnsi="Arial" w:cs="Arial"/>
          <w:b/>
          <w:bCs/>
          <w:sz w:val="20"/>
          <w:lang w:val="de-DE"/>
        </w:rPr>
        <w:t xml:space="preserve">CMS: Paneuropäische Studie zu „grünen“ Bestandverträgen </w:t>
      </w:r>
    </w:p>
    <w:p w:rsidR="00DB6CFA" w:rsidRPr="00DB6CFA" w:rsidRDefault="00DB6CFA" w:rsidP="00DB6CFA">
      <w:pPr>
        <w:rPr>
          <w:rFonts w:ascii="Arial" w:hAnsi="Arial" w:cs="Arial"/>
          <w:sz w:val="20"/>
          <w:lang w:val="de-DE"/>
        </w:rPr>
      </w:pPr>
    </w:p>
    <w:p w:rsidR="00DB6CFA" w:rsidRPr="00DB6CFA" w:rsidRDefault="00DB6CFA" w:rsidP="00DB6CFA">
      <w:pPr>
        <w:pStyle w:val="Kopfzeile"/>
        <w:tabs>
          <w:tab w:val="left" w:pos="1080"/>
        </w:tabs>
        <w:rPr>
          <w:rFonts w:ascii="Arial" w:hAnsi="Arial" w:cs="Arial"/>
          <w:b/>
          <w:sz w:val="20"/>
          <w:lang w:val="de-DE"/>
        </w:rPr>
      </w:pPr>
      <w:r w:rsidRPr="00DB6CFA">
        <w:rPr>
          <w:rFonts w:ascii="Arial" w:eastAsia="Arial" w:hAnsi="Arial" w:cs="Arial"/>
          <w:b/>
          <w:sz w:val="20"/>
          <w:lang w:val="de-DE"/>
        </w:rPr>
        <w:t xml:space="preserve">CMS publiziert den </w:t>
      </w:r>
      <w:r w:rsidRPr="00DB6CFA">
        <w:rPr>
          <w:rFonts w:ascii="Arial" w:eastAsia="Arial" w:hAnsi="Arial" w:cs="Arial"/>
          <w:b/>
          <w:i/>
          <w:iCs/>
          <w:sz w:val="20"/>
          <w:lang w:val="de-DE"/>
        </w:rPr>
        <w:t>CMS e-Guide, eine Studie über Grüne Klauseln bei Bestandverträgen in Eur</w:t>
      </w:r>
      <w:r w:rsidRPr="00DB6CFA">
        <w:rPr>
          <w:rFonts w:ascii="Arial" w:eastAsia="Arial" w:hAnsi="Arial" w:cs="Arial"/>
          <w:b/>
          <w:i/>
          <w:iCs/>
          <w:sz w:val="20"/>
          <w:lang w:val="de-DE"/>
        </w:rPr>
        <w:t>o</w:t>
      </w:r>
      <w:r w:rsidRPr="00DB6CFA">
        <w:rPr>
          <w:rFonts w:ascii="Arial" w:eastAsia="Arial" w:hAnsi="Arial" w:cs="Arial"/>
          <w:b/>
          <w:i/>
          <w:iCs/>
          <w:sz w:val="20"/>
          <w:lang w:val="de-DE"/>
        </w:rPr>
        <w:t>pa</w:t>
      </w:r>
      <w:r w:rsidRPr="00DB6CFA">
        <w:rPr>
          <w:rFonts w:ascii="Arial" w:eastAsia="Arial" w:hAnsi="Arial" w:cs="Arial"/>
          <w:b/>
          <w:sz w:val="20"/>
          <w:lang w:val="de-DE"/>
        </w:rPr>
        <w:t>. Dies</w:t>
      </w:r>
      <w:bookmarkStart w:id="0" w:name="_GoBack"/>
      <w:bookmarkEnd w:id="0"/>
      <w:r w:rsidRPr="00DB6CFA">
        <w:rPr>
          <w:rFonts w:ascii="Arial" w:eastAsia="Arial" w:hAnsi="Arial" w:cs="Arial"/>
          <w:b/>
          <w:sz w:val="20"/>
          <w:lang w:val="de-DE"/>
        </w:rPr>
        <w:t xml:space="preserve"> ist die erste paneuropäische Studie zur bestehenden Rechtslage und den Marktpraktiken im Umfeld von „grünen“ Bestandverträgen. Verglichen wurden die Bestimmungen in 21 europä</w:t>
      </w:r>
      <w:r w:rsidRPr="00DB6CFA">
        <w:rPr>
          <w:rFonts w:ascii="Arial" w:eastAsia="Arial" w:hAnsi="Arial" w:cs="Arial"/>
          <w:b/>
          <w:sz w:val="20"/>
          <w:lang w:val="de-DE"/>
        </w:rPr>
        <w:t>i</w:t>
      </w:r>
      <w:r w:rsidRPr="00DB6CFA">
        <w:rPr>
          <w:rFonts w:ascii="Arial" w:eastAsia="Arial" w:hAnsi="Arial" w:cs="Arial"/>
          <w:b/>
          <w:sz w:val="20"/>
          <w:lang w:val="de-DE"/>
        </w:rPr>
        <w:t>schen Staaten. So ist dieses Dokument eine wertvolle Grundlage zum Vergleich der derzeit ge</w:t>
      </w:r>
      <w:r w:rsidRPr="00DB6CFA">
        <w:rPr>
          <w:rFonts w:ascii="Arial" w:eastAsia="Arial" w:hAnsi="Arial" w:cs="Arial"/>
          <w:b/>
          <w:sz w:val="20"/>
          <w:lang w:val="de-DE"/>
        </w:rPr>
        <w:t>l</w:t>
      </w:r>
      <w:r w:rsidRPr="00DB6CFA">
        <w:rPr>
          <w:rFonts w:ascii="Arial" w:eastAsia="Arial" w:hAnsi="Arial" w:cs="Arial"/>
          <w:b/>
          <w:sz w:val="20"/>
          <w:lang w:val="de-DE"/>
        </w:rPr>
        <w:t>tenden Gesetzgebungen und der Marktpraktiken in unterschiedlichen Rechtssystemen. Die St</w:t>
      </w:r>
      <w:r w:rsidRPr="00DB6CFA">
        <w:rPr>
          <w:rFonts w:ascii="Arial" w:eastAsia="Arial" w:hAnsi="Arial" w:cs="Arial"/>
          <w:b/>
          <w:sz w:val="20"/>
          <w:lang w:val="de-DE"/>
        </w:rPr>
        <w:t>u</w:t>
      </w:r>
      <w:r w:rsidRPr="00DB6CFA">
        <w:rPr>
          <w:rFonts w:ascii="Arial" w:eastAsia="Arial" w:hAnsi="Arial" w:cs="Arial"/>
          <w:b/>
          <w:sz w:val="20"/>
          <w:lang w:val="de-DE"/>
        </w:rPr>
        <w:t xml:space="preserve">die enthält auch Empfehlungen zur Gestaltung von grünen Bestandverträgen. Der </w:t>
      </w:r>
      <w:r w:rsidRPr="00DB6CFA">
        <w:rPr>
          <w:rFonts w:ascii="Arial" w:eastAsia="Arial" w:hAnsi="Arial" w:cs="Arial"/>
          <w:b/>
          <w:i/>
          <w:iCs/>
          <w:sz w:val="20"/>
          <w:lang w:val="de-DE"/>
        </w:rPr>
        <w:t xml:space="preserve">CMS e-Guide </w:t>
      </w:r>
      <w:r w:rsidRPr="00DB6CFA">
        <w:rPr>
          <w:rFonts w:ascii="Arial" w:eastAsia="Arial" w:hAnsi="Arial" w:cs="Arial"/>
          <w:b/>
          <w:sz w:val="20"/>
          <w:lang w:val="de-DE"/>
        </w:rPr>
        <w:t>ist nur als Online-Dokument erhältlich und unter dem folgenden Link abrufbar:</w:t>
      </w:r>
      <w:r w:rsidRPr="00DB6CFA">
        <w:rPr>
          <w:rFonts w:ascii="Arial" w:eastAsia="Arial" w:hAnsi="Arial" w:cs="Arial"/>
          <w:b/>
          <w:i/>
          <w:iCs/>
          <w:sz w:val="20"/>
          <w:lang w:val="de-DE"/>
        </w:rPr>
        <w:t xml:space="preserve"> </w:t>
      </w:r>
      <w:hyperlink r:id="rId7" w:history="1">
        <w:r w:rsidRPr="00DB6CFA">
          <w:rPr>
            <w:rFonts w:ascii="Arial" w:eastAsia="Arial" w:hAnsi="Arial" w:cs="Arial"/>
            <w:b/>
            <w:color w:val="0000FF"/>
            <w:sz w:val="20"/>
            <w:u w:val="single"/>
            <w:lang w:val="de-DE"/>
          </w:rPr>
          <w:t>http://eguides.cmslegal.com/greenleases/index.aspx</w:t>
        </w:r>
      </w:hyperlink>
      <w:r w:rsidRPr="00DB6CFA">
        <w:rPr>
          <w:rFonts w:ascii="Arial" w:eastAsia="Arial" w:hAnsi="Arial" w:cs="Arial"/>
          <w:b/>
          <w:sz w:val="20"/>
          <w:lang w:val="de-DE"/>
        </w:rPr>
        <w:t>.</w:t>
      </w:r>
    </w:p>
    <w:p w:rsidR="00DB6CFA" w:rsidRPr="00DB6CFA" w:rsidRDefault="00DB6CFA" w:rsidP="00DB6CFA">
      <w:pPr>
        <w:rPr>
          <w:rFonts w:ascii="Arial" w:hAnsi="Arial" w:cs="Arial"/>
          <w:b/>
          <w:sz w:val="20"/>
          <w:lang w:val="de-DE"/>
        </w:rPr>
      </w:pPr>
    </w:p>
    <w:p w:rsidR="00DB6CFA" w:rsidRPr="00DB6CFA" w:rsidRDefault="00DB6CFA" w:rsidP="00DB6CFA">
      <w:pPr>
        <w:pStyle w:val="Kopfzeile"/>
        <w:tabs>
          <w:tab w:val="left" w:pos="1080"/>
        </w:tabs>
        <w:rPr>
          <w:rFonts w:ascii="Arial" w:hAnsi="Arial" w:cs="Arial"/>
          <w:b/>
          <w:sz w:val="20"/>
          <w:lang w:val="de-DE"/>
        </w:rPr>
      </w:pPr>
    </w:p>
    <w:p w:rsidR="00DB6CFA" w:rsidRPr="00DB6CFA" w:rsidRDefault="00DB6CFA" w:rsidP="00DB6CFA">
      <w:pPr>
        <w:pStyle w:val="Kopfzeile"/>
        <w:tabs>
          <w:tab w:val="left" w:pos="1080"/>
        </w:tabs>
        <w:rPr>
          <w:rFonts w:ascii="Arial" w:hAnsi="Arial" w:cs="Arial"/>
          <w:sz w:val="20"/>
          <w:lang w:val="de-DE"/>
        </w:rPr>
      </w:pPr>
      <w:r w:rsidRPr="00DB6CFA">
        <w:rPr>
          <w:rFonts w:ascii="Arial" w:eastAsia="Arial" w:hAnsi="Arial" w:cs="Arial"/>
          <w:sz w:val="20"/>
          <w:lang w:val="de-DE"/>
        </w:rPr>
        <w:t>Für die Studie haben die Immobilienrechtsexperten von CMS die rechtlichen Rahmenbedi</w:t>
      </w:r>
      <w:r w:rsidRPr="00DB6CFA">
        <w:rPr>
          <w:rFonts w:ascii="Arial" w:eastAsia="Arial" w:hAnsi="Arial" w:cs="Arial"/>
          <w:sz w:val="20"/>
          <w:lang w:val="de-DE"/>
        </w:rPr>
        <w:t>n</w:t>
      </w:r>
      <w:r w:rsidRPr="00DB6CFA">
        <w:rPr>
          <w:rFonts w:ascii="Arial" w:eastAsia="Arial" w:hAnsi="Arial" w:cs="Arial"/>
          <w:sz w:val="20"/>
          <w:lang w:val="de-DE"/>
        </w:rPr>
        <w:t>gungen und die Marktpraktiken in Österreich, Belgien, Bosnien und Herzegowina, Bulgarien, Kroatien, der Tschech</w:t>
      </w:r>
      <w:r w:rsidRPr="00DB6CFA">
        <w:rPr>
          <w:rFonts w:ascii="Arial" w:eastAsia="Arial" w:hAnsi="Arial" w:cs="Arial"/>
          <w:sz w:val="20"/>
          <w:lang w:val="de-DE"/>
        </w:rPr>
        <w:t>i</w:t>
      </w:r>
      <w:r w:rsidRPr="00DB6CFA">
        <w:rPr>
          <w:rFonts w:ascii="Arial" w:eastAsia="Arial" w:hAnsi="Arial" w:cs="Arial"/>
          <w:sz w:val="20"/>
          <w:lang w:val="de-DE"/>
        </w:rPr>
        <w:t>schen Republik, Frankreich, Deutschland, Ungarn, Italien, den Niederlanden, Polen, Rumänien, Rus</w:t>
      </w:r>
      <w:r w:rsidRPr="00DB6CFA">
        <w:rPr>
          <w:rFonts w:ascii="Arial" w:eastAsia="Arial" w:hAnsi="Arial" w:cs="Arial"/>
          <w:sz w:val="20"/>
          <w:lang w:val="de-DE"/>
        </w:rPr>
        <w:t>s</w:t>
      </w:r>
      <w:r w:rsidRPr="00DB6CFA">
        <w:rPr>
          <w:rFonts w:ascii="Arial" w:eastAsia="Arial" w:hAnsi="Arial" w:cs="Arial"/>
          <w:sz w:val="20"/>
          <w:lang w:val="de-DE"/>
        </w:rPr>
        <w:t>land, Serbien, der Slowakei, Slowenien, Spanien, der Schweiz, der Ukraine und im Vereinigten Köni</w:t>
      </w:r>
      <w:r w:rsidRPr="00DB6CFA">
        <w:rPr>
          <w:rFonts w:ascii="Arial" w:eastAsia="Arial" w:hAnsi="Arial" w:cs="Arial"/>
          <w:sz w:val="20"/>
          <w:lang w:val="de-DE"/>
        </w:rPr>
        <w:t>g</w:t>
      </w:r>
      <w:r w:rsidRPr="00DB6CFA">
        <w:rPr>
          <w:rFonts w:ascii="Arial" w:eastAsia="Arial" w:hAnsi="Arial" w:cs="Arial"/>
          <w:sz w:val="20"/>
          <w:lang w:val="de-DE"/>
        </w:rPr>
        <w:t>reich (einschließlich England &amp; Wales, Nordi</w:t>
      </w:r>
      <w:r w:rsidRPr="00DB6CFA">
        <w:rPr>
          <w:rFonts w:ascii="Arial" w:eastAsia="Arial" w:hAnsi="Arial" w:cs="Arial"/>
          <w:sz w:val="20"/>
          <w:lang w:val="de-DE"/>
        </w:rPr>
        <w:t>r</w:t>
      </w:r>
      <w:r w:rsidRPr="00DB6CFA">
        <w:rPr>
          <w:rFonts w:ascii="Arial" w:eastAsia="Arial" w:hAnsi="Arial" w:cs="Arial"/>
          <w:sz w:val="20"/>
          <w:lang w:val="de-DE"/>
        </w:rPr>
        <w:t>land und Schottland) untersucht.</w:t>
      </w:r>
    </w:p>
    <w:p w:rsidR="00DB6CFA" w:rsidRPr="00DB6CFA" w:rsidRDefault="00DB6CFA" w:rsidP="00DB6CFA">
      <w:pPr>
        <w:pStyle w:val="Kopfzeile"/>
        <w:tabs>
          <w:tab w:val="left" w:pos="1080"/>
        </w:tabs>
        <w:rPr>
          <w:rFonts w:ascii="Arial" w:eastAsia="Arial" w:hAnsi="Arial" w:cs="Arial"/>
          <w:b/>
          <w:bCs/>
          <w:sz w:val="20"/>
          <w:lang w:val="de-DE"/>
        </w:rPr>
      </w:pPr>
    </w:p>
    <w:p w:rsidR="00DB6CFA" w:rsidRPr="00DB6CFA" w:rsidRDefault="00DB6CFA" w:rsidP="00DB6CFA">
      <w:pPr>
        <w:pStyle w:val="Kopfzeile"/>
        <w:tabs>
          <w:tab w:val="left" w:pos="1080"/>
        </w:tabs>
        <w:rPr>
          <w:rFonts w:ascii="Arial" w:hAnsi="Arial" w:cs="Arial"/>
          <w:sz w:val="20"/>
          <w:lang w:val="de-DE"/>
        </w:rPr>
      </w:pPr>
      <w:r w:rsidRPr="00DB6CFA">
        <w:rPr>
          <w:rFonts w:ascii="Arial" w:eastAsia="Arial" w:hAnsi="Arial" w:cs="Arial"/>
          <w:bCs/>
          <w:sz w:val="20"/>
          <w:lang w:val="de-DE"/>
        </w:rPr>
        <w:t>In Österreich waren an der Erstellung der Studie Dr. Nikolaus Weselik</w:t>
      </w:r>
      <w:r w:rsidRPr="00DB6CFA">
        <w:rPr>
          <w:rFonts w:ascii="Arial" w:eastAsia="Arial" w:hAnsi="Arial" w:cs="Arial"/>
          <w:sz w:val="20"/>
          <w:lang w:val="de-DE"/>
        </w:rPr>
        <w:t xml:space="preserve">, Partner, Dr. Stefanie Werinos, Rechtsanwältin und Mag. Martin </w:t>
      </w:r>
      <w:proofErr w:type="spellStart"/>
      <w:r w:rsidRPr="00DB6CFA">
        <w:rPr>
          <w:rFonts w:ascii="Arial" w:eastAsia="Arial" w:hAnsi="Arial" w:cs="Arial"/>
          <w:sz w:val="20"/>
          <w:lang w:val="de-DE"/>
        </w:rPr>
        <w:t>Trapichler</w:t>
      </w:r>
      <w:proofErr w:type="spellEnd"/>
      <w:r w:rsidRPr="00DB6CFA">
        <w:rPr>
          <w:rFonts w:ascii="Arial" w:eastAsia="Arial" w:hAnsi="Arial" w:cs="Arial"/>
          <w:sz w:val="20"/>
          <w:lang w:val="de-DE"/>
        </w:rPr>
        <w:t xml:space="preserve">, Rechtsanwaltsanwärter bei CMS Reich-Rohrwig Hainz </w:t>
      </w:r>
      <w:r w:rsidRPr="00DB6CFA">
        <w:rPr>
          <w:rFonts w:ascii="Arial" w:eastAsia="Arial" w:hAnsi="Arial" w:cs="Arial"/>
          <w:bCs/>
          <w:sz w:val="20"/>
          <w:lang w:val="de-DE"/>
        </w:rPr>
        <w:t>ma</w:t>
      </w:r>
      <w:r w:rsidRPr="00DB6CFA">
        <w:rPr>
          <w:rFonts w:ascii="Arial" w:eastAsia="Arial" w:hAnsi="Arial" w:cs="Arial"/>
          <w:bCs/>
          <w:sz w:val="20"/>
          <w:lang w:val="de-DE"/>
        </w:rPr>
        <w:t>ß</w:t>
      </w:r>
      <w:r w:rsidRPr="00DB6CFA">
        <w:rPr>
          <w:rFonts w:ascii="Arial" w:eastAsia="Arial" w:hAnsi="Arial" w:cs="Arial"/>
          <w:bCs/>
          <w:sz w:val="20"/>
          <w:lang w:val="de-DE"/>
        </w:rPr>
        <w:t>geblich</w:t>
      </w:r>
      <w:r w:rsidRPr="00DB6CFA">
        <w:rPr>
          <w:rFonts w:ascii="Arial" w:eastAsia="Arial" w:hAnsi="Arial" w:cs="Arial"/>
          <w:sz w:val="20"/>
          <w:lang w:val="de-DE"/>
        </w:rPr>
        <w:t xml:space="preserve"> beteiligt. „Wir sehen eine große Konzentration auf umweltfreundliche Gebäude und wollten he</w:t>
      </w:r>
      <w:r w:rsidRPr="00DB6CFA">
        <w:rPr>
          <w:rFonts w:ascii="Arial" w:eastAsia="Arial" w:hAnsi="Arial" w:cs="Arial"/>
          <w:sz w:val="20"/>
          <w:lang w:val="de-DE"/>
        </w:rPr>
        <w:t>r</w:t>
      </w:r>
      <w:r w:rsidRPr="00DB6CFA">
        <w:rPr>
          <w:rFonts w:ascii="Arial" w:eastAsia="Arial" w:hAnsi="Arial" w:cs="Arial"/>
          <w:sz w:val="20"/>
          <w:lang w:val="de-DE"/>
        </w:rPr>
        <w:t>ausfinden, was sich diesbezüglich in Europa tut und dabei die besten Verfahrensweisen herausarbeiten. Die Studie versorgt Investoren, und Nutzer mit genauen Informationen darüber, wie sie sicherstellen kö</w:t>
      </w:r>
      <w:r w:rsidRPr="00DB6CFA">
        <w:rPr>
          <w:rFonts w:ascii="Arial" w:eastAsia="Arial" w:hAnsi="Arial" w:cs="Arial"/>
          <w:sz w:val="20"/>
          <w:lang w:val="de-DE"/>
        </w:rPr>
        <w:t>n</w:t>
      </w:r>
      <w:r w:rsidRPr="00DB6CFA">
        <w:rPr>
          <w:rFonts w:ascii="Arial" w:eastAsia="Arial" w:hAnsi="Arial" w:cs="Arial"/>
          <w:sz w:val="20"/>
          <w:lang w:val="de-DE"/>
        </w:rPr>
        <w:t>nen, dass Gebäude während ihrer gesamten Nutzungsdauer grün bleiben“, erklärt Immobilienrechtse</w:t>
      </w:r>
      <w:r w:rsidRPr="00DB6CFA">
        <w:rPr>
          <w:rFonts w:ascii="Arial" w:eastAsia="Arial" w:hAnsi="Arial" w:cs="Arial"/>
          <w:sz w:val="20"/>
          <w:lang w:val="de-DE"/>
        </w:rPr>
        <w:t>x</w:t>
      </w:r>
      <w:r w:rsidRPr="00DB6CFA">
        <w:rPr>
          <w:rFonts w:ascii="Arial" w:eastAsia="Arial" w:hAnsi="Arial" w:cs="Arial"/>
          <w:sz w:val="20"/>
          <w:lang w:val="de-DE"/>
        </w:rPr>
        <w:t>perte Weselik.</w:t>
      </w:r>
    </w:p>
    <w:p w:rsidR="00DB6CFA" w:rsidRPr="00DB6CFA" w:rsidRDefault="00DB6CFA" w:rsidP="00DB6CFA">
      <w:pPr>
        <w:rPr>
          <w:rFonts w:ascii="Arial" w:hAnsi="Arial" w:cs="Arial"/>
          <w:sz w:val="20"/>
          <w:lang w:val="de-DE"/>
        </w:rPr>
      </w:pPr>
    </w:p>
    <w:p w:rsidR="00DB6CFA" w:rsidRPr="00DB6CFA" w:rsidRDefault="00DB6CFA" w:rsidP="00DB6CFA">
      <w:pPr>
        <w:rPr>
          <w:rFonts w:ascii="Arial" w:hAnsi="Arial" w:cs="Arial"/>
          <w:i/>
          <w:iCs/>
          <w:sz w:val="20"/>
          <w:lang w:val="de-DE"/>
        </w:rPr>
      </w:pPr>
      <w:r w:rsidRPr="00DB6CFA">
        <w:rPr>
          <w:rFonts w:ascii="Arial" w:eastAsia="Arial" w:hAnsi="Arial" w:cs="Arial"/>
          <w:sz w:val="20"/>
          <w:lang w:val="de-DE"/>
        </w:rPr>
        <w:t>Die Studie zeigt einen zunehmenden Einsatz „grüner“ Klauseln inmitten eines Patchworks aus Besti</w:t>
      </w:r>
      <w:r w:rsidRPr="00DB6CFA">
        <w:rPr>
          <w:rFonts w:ascii="Arial" w:eastAsia="Arial" w:hAnsi="Arial" w:cs="Arial"/>
          <w:sz w:val="20"/>
          <w:lang w:val="de-DE"/>
        </w:rPr>
        <w:t>m</w:t>
      </w:r>
      <w:r w:rsidRPr="00DB6CFA">
        <w:rPr>
          <w:rFonts w:ascii="Arial" w:eastAsia="Arial" w:hAnsi="Arial" w:cs="Arial"/>
          <w:sz w:val="20"/>
          <w:lang w:val="de-DE"/>
        </w:rPr>
        <w:t>mungen und Marktpraktiken. „Das sollte uns nicht erstaunen“, so die Umweltrechtsexpertin Werinos, „denn umweltfreundliche und nachhaltige Gebäude setzen sich erst langsam in Europa durch. In einer Region, die das Kyoto Protokoll voll unterstützt, sorgen sie für eine Verringerung der Emissionen und des Energieverbrauchs. Deshalb ist es so wichtig, sicherzustellen, dass Gebäude während ihrer gesamten Nutzungsdauer grün ble</w:t>
      </w:r>
      <w:r w:rsidRPr="00DB6CFA">
        <w:rPr>
          <w:rFonts w:ascii="Arial" w:eastAsia="Arial" w:hAnsi="Arial" w:cs="Arial"/>
          <w:sz w:val="20"/>
          <w:lang w:val="de-DE"/>
        </w:rPr>
        <w:t>i</w:t>
      </w:r>
      <w:r w:rsidRPr="00DB6CFA">
        <w:rPr>
          <w:rFonts w:ascii="Arial" w:eastAsia="Arial" w:hAnsi="Arial" w:cs="Arial"/>
          <w:sz w:val="20"/>
          <w:lang w:val="de-DE"/>
        </w:rPr>
        <w:t>ben, um die Investitionen auch in Zukunft abzusichern.“</w:t>
      </w:r>
    </w:p>
    <w:p w:rsidR="00DB6CFA" w:rsidRPr="00DB6CFA" w:rsidRDefault="00DB6CFA" w:rsidP="00DB6CFA">
      <w:pPr>
        <w:pStyle w:val="Kopfzeile"/>
        <w:tabs>
          <w:tab w:val="left" w:pos="1080"/>
        </w:tabs>
        <w:rPr>
          <w:rFonts w:ascii="Arial" w:hAnsi="Arial" w:cs="Arial"/>
          <w:sz w:val="20"/>
          <w:lang w:val="de-DE"/>
        </w:rPr>
      </w:pPr>
    </w:p>
    <w:p w:rsidR="00DB6CFA" w:rsidRPr="00DB6CFA" w:rsidRDefault="00DB6CFA" w:rsidP="00DB6CFA">
      <w:pPr>
        <w:pStyle w:val="Kopfzeile"/>
        <w:tabs>
          <w:tab w:val="left" w:pos="1080"/>
        </w:tabs>
        <w:rPr>
          <w:rFonts w:ascii="Arial" w:eastAsia="Arial" w:hAnsi="Arial" w:cs="Arial"/>
          <w:b/>
          <w:sz w:val="20"/>
          <w:lang w:val="de-DE"/>
        </w:rPr>
      </w:pPr>
      <w:r w:rsidRPr="00DB6CFA">
        <w:rPr>
          <w:rFonts w:ascii="Arial" w:eastAsia="Arial" w:hAnsi="Arial" w:cs="Arial"/>
          <w:b/>
          <w:sz w:val="20"/>
          <w:lang w:val="de-DE"/>
        </w:rPr>
        <w:t>Nationale Harmonisierung der Energiezertifizierung notwendig</w:t>
      </w:r>
    </w:p>
    <w:p w:rsidR="00DB6CFA" w:rsidRPr="00DB6CFA" w:rsidRDefault="00DB6CFA" w:rsidP="00DB6CFA">
      <w:pPr>
        <w:pStyle w:val="Kopfzeile"/>
        <w:tabs>
          <w:tab w:val="left" w:pos="1080"/>
        </w:tabs>
        <w:rPr>
          <w:rFonts w:ascii="Arial" w:hAnsi="Arial" w:cs="Arial"/>
          <w:sz w:val="20"/>
          <w:lang w:val="de-DE"/>
        </w:rPr>
      </w:pPr>
      <w:r w:rsidRPr="00DB6CFA">
        <w:rPr>
          <w:rFonts w:ascii="Arial" w:eastAsia="Arial" w:hAnsi="Arial" w:cs="Arial"/>
          <w:sz w:val="20"/>
          <w:lang w:val="de-DE"/>
        </w:rPr>
        <w:t>Eine der wichtigsten Erkenntnisse ist, dass es im Moment wenig Konsens für einen einheitlichen Sta</w:t>
      </w:r>
      <w:r w:rsidRPr="00DB6CFA">
        <w:rPr>
          <w:rFonts w:ascii="Arial" w:eastAsia="Arial" w:hAnsi="Arial" w:cs="Arial"/>
          <w:sz w:val="20"/>
          <w:lang w:val="de-DE"/>
        </w:rPr>
        <w:t>n</w:t>
      </w:r>
      <w:r w:rsidRPr="00DB6CFA">
        <w:rPr>
          <w:rFonts w:ascii="Arial" w:eastAsia="Arial" w:hAnsi="Arial" w:cs="Arial"/>
          <w:sz w:val="20"/>
          <w:lang w:val="de-DE"/>
        </w:rPr>
        <w:t>dard für die Energiezertifizierung gibt. Die zunehmende Nutzung von drei führe</w:t>
      </w:r>
      <w:r w:rsidRPr="00DB6CFA">
        <w:rPr>
          <w:rFonts w:ascii="Arial" w:eastAsia="Arial" w:hAnsi="Arial" w:cs="Arial"/>
          <w:sz w:val="20"/>
          <w:lang w:val="de-DE"/>
        </w:rPr>
        <w:t>n</w:t>
      </w:r>
      <w:r w:rsidRPr="00DB6CFA">
        <w:rPr>
          <w:rFonts w:ascii="Arial" w:eastAsia="Arial" w:hAnsi="Arial" w:cs="Arial"/>
          <w:sz w:val="20"/>
          <w:lang w:val="de-DE"/>
        </w:rPr>
        <w:t>den Standards – LEED (</w:t>
      </w:r>
      <w:proofErr w:type="spellStart"/>
      <w:r w:rsidRPr="00DB6CFA">
        <w:rPr>
          <w:rFonts w:ascii="Arial" w:eastAsia="Arial" w:hAnsi="Arial" w:cs="Arial"/>
          <w:sz w:val="20"/>
          <w:lang w:val="de-DE"/>
        </w:rPr>
        <w:t>Leadership</w:t>
      </w:r>
      <w:proofErr w:type="spellEnd"/>
      <w:r w:rsidRPr="00DB6CFA">
        <w:rPr>
          <w:rFonts w:ascii="Arial" w:eastAsia="Arial" w:hAnsi="Arial" w:cs="Arial"/>
          <w:sz w:val="20"/>
          <w:lang w:val="de-DE"/>
        </w:rPr>
        <w:t xml:space="preserve"> in </w:t>
      </w:r>
      <w:proofErr w:type="spellStart"/>
      <w:r w:rsidRPr="00DB6CFA">
        <w:rPr>
          <w:rFonts w:ascii="Arial" w:eastAsia="Arial" w:hAnsi="Arial" w:cs="Arial"/>
          <w:sz w:val="20"/>
          <w:lang w:val="de-DE"/>
        </w:rPr>
        <w:t>Energy</w:t>
      </w:r>
      <w:proofErr w:type="spellEnd"/>
      <w:r w:rsidRPr="00DB6CFA">
        <w:rPr>
          <w:rFonts w:ascii="Arial" w:eastAsia="Arial" w:hAnsi="Arial" w:cs="Arial"/>
          <w:sz w:val="20"/>
          <w:lang w:val="de-DE"/>
        </w:rPr>
        <w:t xml:space="preserve"> </w:t>
      </w:r>
      <w:proofErr w:type="spellStart"/>
      <w:r w:rsidRPr="00DB6CFA">
        <w:rPr>
          <w:rFonts w:ascii="Arial" w:eastAsia="Arial" w:hAnsi="Arial" w:cs="Arial"/>
          <w:sz w:val="20"/>
          <w:lang w:val="de-DE"/>
        </w:rPr>
        <w:t>and</w:t>
      </w:r>
      <w:proofErr w:type="spellEnd"/>
      <w:r w:rsidRPr="00DB6CFA">
        <w:rPr>
          <w:rFonts w:ascii="Arial" w:eastAsia="Arial" w:hAnsi="Arial" w:cs="Arial"/>
          <w:sz w:val="20"/>
          <w:lang w:val="de-DE"/>
        </w:rPr>
        <w:t xml:space="preserve"> Environment Design) und BREEAM (</w:t>
      </w:r>
      <w:proofErr w:type="spellStart"/>
      <w:r w:rsidRPr="00DB6CFA">
        <w:rPr>
          <w:rFonts w:ascii="Arial" w:eastAsia="Arial" w:hAnsi="Arial" w:cs="Arial"/>
          <w:sz w:val="20"/>
          <w:lang w:val="de-DE"/>
        </w:rPr>
        <w:t>Building</w:t>
      </w:r>
      <w:proofErr w:type="spellEnd"/>
      <w:r w:rsidRPr="00DB6CFA">
        <w:rPr>
          <w:rFonts w:ascii="Arial" w:eastAsia="Arial" w:hAnsi="Arial" w:cs="Arial"/>
          <w:sz w:val="20"/>
          <w:lang w:val="de-DE"/>
        </w:rPr>
        <w:t xml:space="preserve"> Research Establishment E</w:t>
      </w:r>
      <w:r w:rsidRPr="00DB6CFA">
        <w:rPr>
          <w:rFonts w:ascii="Arial" w:eastAsia="Arial" w:hAnsi="Arial" w:cs="Arial"/>
          <w:sz w:val="20"/>
          <w:lang w:val="de-DE"/>
        </w:rPr>
        <w:t>n</w:t>
      </w:r>
      <w:r w:rsidRPr="00DB6CFA">
        <w:rPr>
          <w:rFonts w:ascii="Arial" w:eastAsia="Arial" w:hAnsi="Arial" w:cs="Arial"/>
          <w:sz w:val="20"/>
          <w:lang w:val="de-DE"/>
        </w:rPr>
        <w:t xml:space="preserve">vironmental Assessment </w:t>
      </w:r>
      <w:proofErr w:type="spellStart"/>
      <w:r w:rsidRPr="00DB6CFA">
        <w:rPr>
          <w:rFonts w:ascii="Arial" w:eastAsia="Arial" w:hAnsi="Arial" w:cs="Arial"/>
          <w:sz w:val="20"/>
          <w:lang w:val="de-DE"/>
        </w:rPr>
        <w:t>Method</w:t>
      </w:r>
      <w:proofErr w:type="spellEnd"/>
      <w:r w:rsidRPr="00DB6CFA">
        <w:rPr>
          <w:rFonts w:ascii="Arial" w:eastAsia="Arial" w:hAnsi="Arial" w:cs="Arial"/>
          <w:sz w:val="20"/>
          <w:lang w:val="de-DE"/>
        </w:rPr>
        <w:t>) in einigen Ländern eng gefolgt von DGNB (Deutsche Gesellschaft für Nachhaltiges Bauen) – zeigt die wachsende Bedeutung der Zertifizierung in ganz Europa, allerdings mit großen Unterschieden in den einzelnen Ländern. So wurde beispielsweise in Österreich erstmals im Jahr 2010 eine Gebäude LEED-zertifiziert. So entwickeln einige Staaten wie zum Beispiel Belgien, die Tsch</w:t>
      </w:r>
      <w:r w:rsidRPr="00DB6CFA">
        <w:rPr>
          <w:rFonts w:ascii="Arial" w:eastAsia="Arial" w:hAnsi="Arial" w:cs="Arial"/>
          <w:sz w:val="20"/>
          <w:lang w:val="de-DE"/>
        </w:rPr>
        <w:t>e</w:t>
      </w:r>
      <w:r w:rsidRPr="00DB6CFA">
        <w:rPr>
          <w:rFonts w:ascii="Arial" w:eastAsia="Arial" w:hAnsi="Arial" w:cs="Arial"/>
          <w:sz w:val="20"/>
          <w:lang w:val="de-DE"/>
        </w:rPr>
        <w:t>chische Republik, Frankreich und Italien eigene, nationale Standards, während andere Lä</w:t>
      </w:r>
      <w:r w:rsidRPr="00DB6CFA">
        <w:rPr>
          <w:rFonts w:ascii="Arial" w:eastAsia="Arial" w:hAnsi="Arial" w:cs="Arial"/>
          <w:sz w:val="20"/>
          <w:lang w:val="de-DE"/>
        </w:rPr>
        <w:t>n</w:t>
      </w:r>
      <w:r w:rsidRPr="00DB6CFA">
        <w:rPr>
          <w:rFonts w:ascii="Arial" w:eastAsia="Arial" w:hAnsi="Arial" w:cs="Arial"/>
          <w:sz w:val="20"/>
          <w:lang w:val="de-DE"/>
        </w:rPr>
        <w:t>der wie zum Beispiel die Niederlande und Polen auf internationale Standards setzen, die sie auf ihre nationalen B</w:t>
      </w:r>
      <w:r w:rsidRPr="00DB6CFA">
        <w:rPr>
          <w:rFonts w:ascii="Arial" w:eastAsia="Arial" w:hAnsi="Arial" w:cs="Arial"/>
          <w:sz w:val="20"/>
          <w:lang w:val="de-DE"/>
        </w:rPr>
        <w:t>e</w:t>
      </w:r>
      <w:r w:rsidRPr="00DB6CFA">
        <w:rPr>
          <w:rFonts w:ascii="Arial" w:eastAsia="Arial" w:hAnsi="Arial" w:cs="Arial"/>
          <w:sz w:val="20"/>
          <w:lang w:val="de-DE"/>
        </w:rPr>
        <w:lastRenderedPageBreak/>
        <w:t>dürfnisse zuschneiden. „Diese Zertifizierungen sind sehr nützlich, aber nicht vollständig miteinander ve</w:t>
      </w:r>
      <w:r w:rsidRPr="00DB6CFA">
        <w:rPr>
          <w:rFonts w:ascii="Arial" w:eastAsia="Arial" w:hAnsi="Arial" w:cs="Arial"/>
          <w:sz w:val="20"/>
          <w:lang w:val="de-DE"/>
        </w:rPr>
        <w:t>r</w:t>
      </w:r>
      <w:r w:rsidRPr="00DB6CFA">
        <w:rPr>
          <w:rFonts w:ascii="Arial" w:eastAsia="Arial" w:hAnsi="Arial" w:cs="Arial"/>
          <w:sz w:val="20"/>
          <w:lang w:val="de-DE"/>
        </w:rPr>
        <w:t xml:space="preserve">gleichbar. Und dies kann sehr verwirrend sein, sowohl für Investoren als auch für die Nutzer“, erklärt </w:t>
      </w:r>
      <w:r w:rsidRPr="00DB6CFA">
        <w:rPr>
          <w:rFonts w:ascii="Arial" w:eastAsia="Arial" w:hAnsi="Arial" w:cs="Arial"/>
          <w:bCs/>
          <w:sz w:val="20"/>
          <w:lang w:val="de-DE"/>
        </w:rPr>
        <w:t>W</w:t>
      </w:r>
      <w:r w:rsidRPr="00DB6CFA">
        <w:rPr>
          <w:rFonts w:ascii="Arial" w:eastAsia="Arial" w:hAnsi="Arial" w:cs="Arial"/>
          <w:bCs/>
          <w:sz w:val="20"/>
          <w:lang w:val="de-DE"/>
        </w:rPr>
        <w:t>e</w:t>
      </w:r>
      <w:r w:rsidRPr="00DB6CFA">
        <w:rPr>
          <w:rFonts w:ascii="Arial" w:eastAsia="Arial" w:hAnsi="Arial" w:cs="Arial"/>
          <w:bCs/>
          <w:sz w:val="20"/>
          <w:lang w:val="de-DE"/>
        </w:rPr>
        <w:t>selik dazu</w:t>
      </w:r>
      <w:r w:rsidRPr="00DB6CFA">
        <w:rPr>
          <w:rFonts w:ascii="Arial" w:eastAsia="Arial" w:hAnsi="Arial" w:cs="Arial"/>
          <w:sz w:val="20"/>
          <w:lang w:val="de-DE"/>
        </w:rPr>
        <w:t>. „Eine nationale Harmonisierung der Standards wäre für die gesamte europäische Immobilie</w:t>
      </w:r>
      <w:r w:rsidRPr="00DB6CFA">
        <w:rPr>
          <w:rFonts w:ascii="Arial" w:eastAsia="Arial" w:hAnsi="Arial" w:cs="Arial"/>
          <w:sz w:val="20"/>
          <w:lang w:val="de-DE"/>
        </w:rPr>
        <w:t>n</w:t>
      </w:r>
      <w:r w:rsidRPr="00DB6CFA">
        <w:rPr>
          <w:rFonts w:ascii="Arial" w:eastAsia="Arial" w:hAnsi="Arial" w:cs="Arial"/>
          <w:sz w:val="20"/>
          <w:lang w:val="de-DE"/>
        </w:rPr>
        <w:t>wirtschaft von Vorteil. Bedenkt man jedoch, wie gering gegenwärtig der Anteil der Neubauten am gesa</w:t>
      </w:r>
      <w:r w:rsidRPr="00DB6CFA">
        <w:rPr>
          <w:rFonts w:ascii="Arial" w:eastAsia="Arial" w:hAnsi="Arial" w:cs="Arial"/>
          <w:sz w:val="20"/>
          <w:lang w:val="de-DE"/>
        </w:rPr>
        <w:t>m</w:t>
      </w:r>
      <w:r w:rsidRPr="00DB6CFA">
        <w:rPr>
          <w:rFonts w:ascii="Arial" w:eastAsia="Arial" w:hAnsi="Arial" w:cs="Arial"/>
          <w:sz w:val="20"/>
          <w:lang w:val="de-DE"/>
        </w:rPr>
        <w:t>ten Gebäudeb</w:t>
      </w:r>
      <w:r w:rsidRPr="00DB6CFA">
        <w:rPr>
          <w:rFonts w:ascii="Arial" w:eastAsia="Arial" w:hAnsi="Arial" w:cs="Arial"/>
          <w:sz w:val="20"/>
          <w:lang w:val="de-DE"/>
        </w:rPr>
        <w:t>e</w:t>
      </w:r>
      <w:r w:rsidRPr="00DB6CFA">
        <w:rPr>
          <w:rFonts w:ascii="Arial" w:eastAsia="Arial" w:hAnsi="Arial" w:cs="Arial"/>
          <w:sz w:val="20"/>
          <w:lang w:val="de-DE"/>
        </w:rPr>
        <w:t>stand ist, dann ist die aufkommende Zertifizierung für bereits bestehende Gebäude eine positive Entwicklung.“</w:t>
      </w:r>
    </w:p>
    <w:p w:rsidR="00DB6CFA" w:rsidRPr="00DB6CFA" w:rsidRDefault="00DB6CFA" w:rsidP="00DB6CFA">
      <w:pPr>
        <w:pStyle w:val="Kopfzeile"/>
        <w:tabs>
          <w:tab w:val="left" w:pos="1080"/>
        </w:tabs>
        <w:rPr>
          <w:rFonts w:ascii="Arial" w:hAnsi="Arial" w:cs="Arial"/>
          <w:sz w:val="20"/>
          <w:lang w:val="de-DE"/>
        </w:rPr>
      </w:pPr>
    </w:p>
    <w:p w:rsidR="00DB6CFA" w:rsidRPr="00DB6CFA" w:rsidRDefault="00DB6CFA" w:rsidP="00DB6CFA">
      <w:pPr>
        <w:pStyle w:val="Kopfzeile"/>
        <w:tabs>
          <w:tab w:val="left" w:pos="1080"/>
        </w:tabs>
        <w:rPr>
          <w:rFonts w:ascii="Arial" w:hAnsi="Arial" w:cs="Arial"/>
          <w:sz w:val="20"/>
          <w:lang w:val="de-DE"/>
        </w:rPr>
      </w:pPr>
      <w:r w:rsidRPr="00DB6CFA">
        <w:rPr>
          <w:rFonts w:ascii="Arial" w:eastAsia="Arial" w:hAnsi="Arial" w:cs="Arial"/>
          <w:sz w:val="20"/>
          <w:lang w:val="de-DE"/>
        </w:rPr>
        <w:t>In ganz Europa sind die Anreize für Hausbesitzer, ihre Gebäude im Hinblick auf die Energi</w:t>
      </w:r>
      <w:r w:rsidRPr="00DB6CFA">
        <w:rPr>
          <w:rFonts w:ascii="Arial" w:eastAsia="Arial" w:hAnsi="Arial" w:cs="Arial"/>
          <w:sz w:val="20"/>
          <w:lang w:val="de-DE"/>
        </w:rPr>
        <w:t>e</w:t>
      </w:r>
      <w:r w:rsidRPr="00DB6CFA">
        <w:rPr>
          <w:rFonts w:ascii="Arial" w:eastAsia="Arial" w:hAnsi="Arial" w:cs="Arial"/>
          <w:sz w:val="20"/>
          <w:lang w:val="de-DE"/>
        </w:rPr>
        <w:t>effizienz auf dem neuesten Stand zu halten, allerdings recht begrenzt. In Anbetracht der neuen Zertifizierungssta</w:t>
      </w:r>
      <w:r w:rsidRPr="00DB6CFA">
        <w:rPr>
          <w:rFonts w:ascii="Arial" w:eastAsia="Arial" w:hAnsi="Arial" w:cs="Arial"/>
          <w:sz w:val="20"/>
          <w:lang w:val="de-DE"/>
        </w:rPr>
        <w:t>n</w:t>
      </w:r>
      <w:r w:rsidRPr="00DB6CFA">
        <w:rPr>
          <w:rFonts w:ascii="Arial" w:eastAsia="Arial" w:hAnsi="Arial" w:cs="Arial"/>
          <w:sz w:val="20"/>
          <w:lang w:val="de-DE"/>
        </w:rPr>
        <w:t>dards für bestehende Gebäude und angesichts des hohen Besta</w:t>
      </w:r>
      <w:r w:rsidRPr="00DB6CFA">
        <w:rPr>
          <w:rFonts w:ascii="Arial" w:eastAsia="Arial" w:hAnsi="Arial" w:cs="Arial"/>
          <w:sz w:val="20"/>
          <w:lang w:val="de-DE"/>
        </w:rPr>
        <w:t>n</w:t>
      </w:r>
      <w:r w:rsidRPr="00DB6CFA">
        <w:rPr>
          <w:rFonts w:ascii="Arial" w:eastAsia="Arial" w:hAnsi="Arial" w:cs="Arial"/>
          <w:sz w:val="20"/>
          <w:lang w:val="de-DE"/>
        </w:rPr>
        <w:t>des an bereits existierenden Gebäuden in Europa, vertreten die Experten von CMS die Me</w:t>
      </w:r>
      <w:r w:rsidRPr="00DB6CFA">
        <w:rPr>
          <w:rFonts w:ascii="Arial" w:eastAsia="Arial" w:hAnsi="Arial" w:cs="Arial"/>
          <w:sz w:val="20"/>
          <w:lang w:val="de-DE"/>
        </w:rPr>
        <w:t>i</w:t>
      </w:r>
      <w:r w:rsidRPr="00DB6CFA">
        <w:rPr>
          <w:rFonts w:ascii="Arial" w:eastAsia="Arial" w:hAnsi="Arial" w:cs="Arial"/>
          <w:sz w:val="20"/>
          <w:lang w:val="de-DE"/>
        </w:rPr>
        <w:t xml:space="preserve">nung, dass die verantwortlichen Behörden die Anreize für Hausbesitzer und Bestandnehmer ausweiten sollten. </w:t>
      </w:r>
    </w:p>
    <w:p w:rsidR="00DB6CFA" w:rsidRPr="00DB6CFA" w:rsidRDefault="00DB6CFA" w:rsidP="00DB6CFA">
      <w:pPr>
        <w:pStyle w:val="Kopfzeile"/>
        <w:tabs>
          <w:tab w:val="left" w:pos="1080"/>
        </w:tabs>
        <w:rPr>
          <w:rFonts w:ascii="Arial" w:hAnsi="Arial" w:cs="Arial"/>
          <w:sz w:val="20"/>
          <w:lang w:val="de-DE"/>
        </w:rPr>
      </w:pPr>
    </w:p>
    <w:p w:rsidR="00DB6CFA" w:rsidRPr="00DB6CFA" w:rsidRDefault="00DB6CFA" w:rsidP="00DB6CFA">
      <w:pPr>
        <w:pStyle w:val="Kopfzeile"/>
        <w:tabs>
          <w:tab w:val="left" w:pos="1080"/>
        </w:tabs>
        <w:rPr>
          <w:rFonts w:ascii="Arial" w:eastAsia="Arial" w:hAnsi="Arial" w:cs="Arial"/>
          <w:sz w:val="20"/>
          <w:lang w:val="de-DE"/>
        </w:rPr>
      </w:pPr>
      <w:r w:rsidRPr="00DB6CFA">
        <w:rPr>
          <w:rFonts w:ascii="Arial" w:eastAsia="Arial" w:hAnsi="Arial" w:cs="Arial"/>
          <w:sz w:val="20"/>
          <w:lang w:val="de-DE"/>
        </w:rPr>
        <w:t xml:space="preserve">Der </w:t>
      </w:r>
      <w:r w:rsidRPr="00DB6CFA">
        <w:rPr>
          <w:rFonts w:ascii="Arial" w:eastAsia="Arial" w:hAnsi="Arial" w:cs="Arial"/>
          <w:i/>
          <w:iCs/>
          <w:sz w:val="20"/>
          <w:lang w:val="de-DE"/>
        </w:rPr>
        <w:t>CMS e-Guide: Die Studie über den Gebrauch von Grünen Bestandverträgen in Europa</w:t>
      </w:r>
      <w:r w:rsidRPr="00DB6CFA">
        <w:rPr>
          <w:rFonts w:ascii="Arial" w:eastAsia="Arial" w:hAnsi="Arial" w:cs="Arial"/>
          <w:sz w:val="20"/>
          <w:lang w:val="de-DE"/>
        </w:rPr>
        <w:t xml:space="preserve"> ist nur als Online-Dokument erhältlich. Sie kann unter dem folgenden Link kostenlos aufgerufen werden:</w:t>
      </w:r>
      <w:r w:rsidRPr="00DB6CFA">
        <w:rPr>
          <w:rFonts w:ascii="Arial" w:eastAsia="Arial" w:hAnsi="Arial" w:cs="Arial"/>
          <w:i/>
          <w:iCs/>
          <w:sz w:val="20"/>
          <w:lang w:val="de-DE"/>
        </w:rPr>
        <w:t xml:space="preserve"> </w:t>
      </w:r>
      <w:hyperlink r:id="rId8" w:history="1">
        <w:r w:rsidRPr="00DB6CFA">
          <w:rPr>
            <w:rFonts w:ascii="Arial" w:eastAsia="Arial" w:hAnsi="Arial" w:cs="Arial"/>
            <w:color w:val="0000FF"/>
            <w:sz w:val="20"/>
            <w:u w:val="single"/>
            <w:lang w:val="de-DE"/>
          </w:rPr>
          <w:t>http://eguides.cmslegal.com/greenleases/index.aspx</w:t>
        </w:r>
      </w:hyperlink>
      <w:r w:rsidRPr="00DB6CFA">
        <w:rPr>
          <w:rFonts w:ascii="Arial" w:eastAsia="Arial" w:hAnsi="Arial" w:cs="Arial"/>
          <w:sz w:val="20"/>
          <w:lang w:val="de-DE"/>
        </w:rPr>
        <w:t>.</w:t>
      </w:r>
    </w:p>
    <w:p w:rsidR="00DB6CFA" w:rsidRPr="00DB6CFA" w:rsidRDefault="00DB6CFA" w:rsidP="00DB6CFA">
      <w:pPr>
        <w:pStyle w:val="Kopfzeile"/>
        <w:tabs>
          <w:tab w:val="left" w:pos="1080"/>
        </w:tabs>
        <w:rPr>
          <w:rFonts w:ascii="Arial" w:hAnsi="Arial" w:cs="Arial"/>
          <w:sz w:val="20"/>
          <w:lang w:val="de-DE"/>
        </w:rPr>
      </w:pPr>
    </w:p>
    <w:p w:rsidR="00DB6CFA" w:rsidRPr="00DB6CFA" w:rsidRDefault="00DB6CFA" w:rsidP="00DB6CFA">
      <w:pPr>
        <w:pStyle w:val="Kopfzeile"/>
        <w:tabs>
          <w:tab w:val="left" w:pos="1080"/>
        </w:tabs>
        <w:rPr>
          <w:rFonts w:ascii="Arial" w:hAnsi="Arial" w:cs="Arial"/>
          <w:b/>
          <w:sz w:val="20"/>
          <w:lang w:val="de-DE"/>
        </w:rPr>
      </w:pPr>
    </w:p>
    <w:p w:rsidR="00DB6CFA" w:rsidRPr="00DB6CFA" w:rsidRDefault="00DB6CFA" w:rsidP="00DB6CFA">
      <w:pPr>
        <w:rPr>
          <w:rFonts w:ascii="Arial" w:hAnsi="Arial" w:cs="Arial"/>
          <w:b/>
          <w:sz w:val="20"/>
          <w:lang w:val="de-DE"/>
        </w:rPr>
      </w:pPr>
      <w:r w:rsidRPr="00DB6CFA">
        <w:rPr>
          <w:rFonts w:ascii="Arial" w:eastAsia="Arial" w:hAnsi="Arial" w:cs="Arial"/>
          <w:b/>
          <w:bCs/>
          <w:sz w:val="20"/>
          <w:lang w:val="de-DE"/>
        </w:rPr>
        <w:t>Führende Standards</w:t>
      </w:r>
    </w:p>
    <w:p w:rsidR="00DB6CFA" w:rsidRPr="00DB6CFA" w:rsidRDefault="00DB6CFA" w:rsidP="00DB6CFA">
      <w:pPr>
        <w:ind w:right="-340"/>
        <w:rPr>
          <w:rFonts w:ascii="Arial" w:hAnsi="Arial" w:cs="Arial"/>
          <w:sz w:val="20"/>
          <w:lang w:val="de-DE"/>
        </w:rPr>
      </w:pPr>
      <w:r w:rsidRPr="00DB6CFA">
        <w:rPr>
          <w:rFonts w:ascii="Arial" w:eastAsia="Arial" w:hAnsi="Arial" w:cs="Arial"/>
          <w:sz w:val="20"/>
          <w:lang w:val="de-DE"/>
        </w:rPr>
        <w:t xml:space="preserve">Mehr Informationen über LEED finden Sie unter: </w:t>
      </w:r>
      <w:hyperlink r:id="rId9" w:history="1">
        <w:r w:rsidRPr="00DB6CFA">
          <w:rPr>
            <w:rStyle w:val="Hyperlink"/>
            <w:rFonts w:ascii="Arial" w:eastAsia="Arial" w:hAnsi="Arial" w:cs="Arial"/>
            <w:sz w:val="20"/>
            <w:lang w:val="de-DE"/>
          </w:rPr>
          <w:t>http://www.usgbc.org/DisplayPage.aspx?CMSPageID=1988</w:t>
        </w:r>
      </w:hyperlink>
      <w:r w:rsidRPr="00DB6CFA">
        <w:rPr>
          <w:rFonts w:ascii="Arial" w:eastAsia="Arial" w:hAnsi="Arial" w:cs="Arial"/>
          <w:sz w:val="20"/>
          <w:lang w:val="de-DE"/>
        </w:rPr>
        <w:t xml:space="preserve"> </w:t>
      </w:r>
    </w:p>
    <w:p w:rsidR="00DB6CFA" w:rsidRPr="00DB6CFA" w:rsidRDefault="00DB6CFA" w:rsidP="00DB6CFA">
      <w:pPr>
        <w:rPr>
          <w:rFonts w:ascii="Arial" w:hAnsi="Arial" w:cs="Arial"/>
          <w:sz w:val="20"/>
          <w:lang w:val="de-DE"/>
        </w:rPr>
      </w:pPr>
      <w:r w:rsidRPr="00DB6CFA">
        <w:rPr>
          <w:rFonts w:ascii="Arial" w:eastAsia="Arial" w:hAnsi="Arial" w:cs="Arial"/>
          <w:sz w:val="20"/>
          <w:lang w:val="de-DE"/>
        </w:rPr>
        <w:t xml:space="preserve">Mehr Informationen über BREEAM finden Sie unter: </w:t>
      </w:r>
      <w:hyperlink r:id="rId10" w:history="1">
        <w:r w:rsidRPr="00DB6CFA">
          <w:rPr>
            <w:rFonts w:ascii="Arial" w:eastAsia="Arial" w:hAnsi="Arial" w:cs="Arial"/>
            <w:color w:val="0000FF"/>
            <w:sz w:val="20"/>
            <w:u w:val="single"/>
            <w:lang w:val="de-DE"/>
          </w:rPr>
          <w:t>http://www.breeam.org/</w:t>
        </w:r>
      </w:hyperlink>
      <w:r w:rsidRPr="00DB6CFA">
        <w:rPr>
          <w:rFonts w:ascii="Arial" w:eastAsia="Arial" w:hAnsi="Arial" w:cs="Arial"/>
          <w:sz w:val="20"/>
          <w:lang w:val="de-DE"/>
        </w:rPr>
        <w:t xml:space="preserve"> </w:t>
      </w:r>
    </w:p>
    <w:p w:rsidR="00DB6CFA" w:rsidRPr="00DB6CFA" w:rsidRDefault="00DB6CFA" w:rsidP="00DB6CFA">
      <w:pPr>
        <w:rPr>
          <w:rFonts w:ascii="Arial" w:hAnsi="Arial" w:cs="Arial"/>
          <w:sz w:val="20"/>
          <w:lang w:val="de-DE"/>
        </w:rPr>
      </w:pPr>
      <w:r w:rsidRPr="00DB6CFA">
        <w:rPr>
          <w:rFonts w:ascii="Arial" w:eastAsia="Arial" w:hAnsi="Arial" w:cs="Arial"/>
          <w:sz w:val="20"/>
          <w:lang w:val="de-DE"/>
        </w:rPr>
        <w:t xml:space="preserve">Mehr Informationen über DGNB finden Sie unter: </w:t>
      </w:r>
      <w:hyperlink r:id="rId11" w:history="1">
        <w:r w:rsidRPr="00DB6CFA">
          <w:rPr>
            <w:rFonts w:ascii="Arial" w:eastAsia="Arial" w:hAnsi="Arial" w:cs="Arial"/>
            <w:color w:val="0000FF"/>
            <w:sz w:val="20"/>
            <w:u w:val="single"/>
            <w:lang w:val="de-DE"/>
          </w:rPr>
          <w:t>http://www.dgnb.de/_en/index.php</w:t>
        </w:r>
      </w:hyperlink>
      <w:r w:rsidRPr="00DB6CFA">
        <w:rPr>
          <w:rFonts w:ascii="Arial" w:eastAsia="Arial" w:hAnsi="Arial" w:cs="Arial"/>
          <w:sz w:val="20"/>
          <w:lang w:val="de-DE"/>
        </w:rPr>
        <w:t xml:space="preserve"> </w:t>
      </w:r>
    </w:p>
    <w:p w:rsidR="00DB6CFA" w:rsidRPr="00DB6CFA" w:rsidRDefault="00DB6CFA" w:rsidP="00DB6CFA">
      <w:pPr>
        <w:rPr>
          <w:rFonts w:ascii="Arial" w:hAnsi="Arial" w:cs="Arial"/>
          <w:sz w:val="20"/>
          <w:lang w:val="de-DE"/>
        </w:rPr>
      </w:pPr>
    </w:p>
    <w:p w:rsidR="00DB6CFA" w:rsidRPr="00DB6CFA" w:rsidRDefault="00DB6CFA" w:rsidP="00DB6CFA">
      <w:pPr>
        <w:rPr>
          <w:rFonts w:ascii="Arial" w:hAnsi="Arial" w:cs="Arial"/>
          <w:b/>
          <w:sz w:val="20"/>
          <w:lang w:val="de-DE"/>
        </w:rPr>
      </w:pPr>
      <w:r w:rsidRPr="00DB6CFA">
        <w:rPr>
          <w:rFonts w:ascii="Arial" w:eastAsia="Arial" w:hAnsi="Arial" w:cs="Arial"/>
          <w:b/>
          <w:bCs/>
          <w:sz w:val="20"/>
          <w:lang w:val="de-DE"/>
        </w:rPr>
        <w:t>Über die Immobilien-Praxis von CMS</w:t>
      </w:r>
    </w:p>
    <w:p w:rsidR="00C8763F" w:rsidRPr="00DB6CFA" w:rsidRDefault="00DB6CFA" w:rsidP="00DB6CFA">
      <w:pPr>
        <w:rPr>
          <w:rFonts w:ascii="Arial" w:hAnsi="Arial" w:cs="Arial"/>
          <w:noProof/>
          <w:sz w:val="20"/>
          <w:lang w:val="de-DE"/>
        </w:rPr>
      </w:pPr>
      <w:r w:rsidRPr="00DB6CFA">
        <w:rPr>
          <w:rFonts w:ascii="Arial" w:eastAsia="Arial" w:hAnsi="Arial" w:cs="Arial"/>
          <w:sz w:val="20"/>
          <w:lang w:val="de-DE"/>
        </w:rPr>
        <w:t>Die Gruppe CMS Immobilien und Bau besteht aus mehr als 115 Partnern und fast 340 qualifizierten Rechtsanwälten. Das breite Wissen und die umfassende Expertise versetzt die Gruppe in die Lage, den Mandanten im Hinblick auf alle rechtlichen und steuerrechtlichen Aspekte, die im Kontext mit Immobilien und Bauaktivitäten entstehen, zu beraten. Dies umfasst einfache Bestandsachen, aber auch Großbaupr</w:t>
      </w:r>
      <w:r w:rsidRPr="00DB6CFA">
        <w:rPr>
          <w:rFonts w:ascii="Arial" w:eastAsia="Arial" w:hAnsi="Arial" w:cs="Arial"/>
          <w:sz w:val="20"/>
          <w:lang w:val="de-DE"/>
        </w:rPr>
        <w:t>o</w:t>
      </w:r>
      <w:r w:rsidRPr="00DB6CFA">
        <w:rPr>
          <w:rFonts w:ascii="Arial" w:eastAsia="Arial" w:hAnsi="Arial" w:cs="Arial"/>
          <w:sz w:val="20"/>
          <w:lang w:val="de-DE"/>
        </w:rPr>
        <w:t>jekte, einschließlich Strukturierung und Finanzierung. Der ausgezeichnete Ruf der Gruppe basiert auf der schnellen und gezielten Beratung, einer gründlichen Branchenkenntnis und dem genauen Verständnis der Märkte.</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9D35F3">
        <w:rPr>
          <w:rFonts w:ascii="Arial" w:hAnsi="Arial" w:cs="Arial"/>
          <w:iCs/>
          <w:sz w:val="16"/>
          <w:szCs w:val="16"/>
          <w:lang w:val="de-DE"/>
        </w:rPr>
        <w:t>4000</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9D35F3">
        <w:rPr>
          <w:rFonts w:ascii="Arial" w:hAnsi="Arial" w:cs="Arial"/>
          <w:iCs/>
          <w:sz w:val="16"/>
          <w:szCs w:val="16"/>
          <w:lang w:val="de-DE"/>
        </w:rPr>
        <w:t>4000</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12"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7A7AA8"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t>Ü</w:t>
      </w:r>
      <w:r w:rsidR="008907E1">
        <w:rPr>
          <w:rStyle w:val="Fett"/>
          <w:rFonts w:ascii="Arial" w:hAnsi="Arial" w:cs="Arial"/>
          <w:sz w:val="16"/>
          <w:szCs w:val="16"/>
        </w:rPr>
        <w:t>ber CMS Reich-Rohrwig Hainz</w:t>
      </w:r>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13"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397BB2" w:rsidRDefault="00397BB2" w:rsidP="008907E1">
      <w:pPr>
        <w:ind w:right="-2"/>
        <w:rPr>
          <w:rFonts w:ascii="Arial" w:hAnsi="Arial" w:cs="Arial"/>
          <w:b/>
          <w:bCs/>
          <w:sz w:val="16"/>
          <w:szCs w:val="16"/>
        </w:rPr>
      </w:pPr>
    </w:p>
    <w:p w:rsidR="008907E1" w:rsidRDefault="00397BB2" w:rsidP="008907E1">
      <w:pPr>
        <w:ind w:right="-2"/>
        <w:rPr>
          <w:rFonts w:ascii="Arial" w:hAnsi="Arial" w:cs="Arial"/>
          <w:b/>
          <w:bCs/>
          <w:sz w:val="16"/>
          <w:szCs w:val="16"/>
        </w:rPr>
      </w:pPr>
      <w:r>
        <w:rPr>
          <w:rFonts w:ascii="Arial" w:hAnsi="Arial" w:cs="Arial"/>
          <w:b/>
          <w:bCs/>
          <w:sz w:val="16"/>
          <w:szCs w:val="16"/>
        </w:rPr>
        <w:t>Ü</w:t>
      </w:r>
      <w:r w:rsidR="008907E1">
        <w:rPr>
          <w:rFonts w:ascii="Arial" w:hAnsi="Arial" w:cs="Arial"/>
          <w:b/>
          <w:bCs/>
          <w:sz w:val="16"/>
          <w:szCs w:val="16"/>
        </w:rPr>
        <w:t>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CMS verfügt über fundierte und regionalspezifische Kenntnisse zu juristischen, steuerlichen und unternehmerischen Anliegen und bietet durch eine gemeinsame Strategie, die an 5</w:t>
      </w:r>
      <w:r w:rsidR="002406F9">
        <w:rPr>
          <w:rFonts w:ascii="Arial" w:hAnsi="Arial" w:cs="Arial"/>
          <w:sz w:val="16"/>
          <w:szCs w:val="16"/>
        </w:rPr>
        <w:t>4</w:t>
      </w:r>
      <w:r>
        <w:rPr>
          <w:rFonts w:ascii="Arial" w:hAnsi="Arial" w:cs="Arial"/>
          <w:sz w:val="16"/>
          <w:szCs w:val="16"/>
        </w:rPr>
        <w:t xml:space="preserve"> Standorten in </w:t>
      </w:r>
      <w:r w:rsidR="002406F9">
        <w:rPr>
          <w:rFonts w:ascii="Arial" w:hAnsi="Arial" w:cs="Arial"/>
          <w:sz w:val="16"/>
          <w:szCs w:val="16"/>
        </w:rPr>
        <w:t>30</w:t>
      </w:r>
      <w:r>
        <w:rPr>
          <w:rFonts w:ascii="Arial" w:hAnsi="Arial" w:cs="Arial"/>
          <w:sz w:val="16"/>
          <w:szCs w:val="16"/>
        </w:rPr>
        <w:t xml:space="preserve"> Rechtssystemen in West- und Mitteleuropa und darüber hinaus lokal umgesetzt wird, Dienstleistungen, bei denen der Mandant im Mittelpunkt steht. CMS, dessen Hauptniederlassung in Frankfurt angesiedelt ist, wurde 1999 gegründet und umfasst heute neun CMS Kanzleien mit über 2.</w:t>
      </w:r>
      <w:r w:rsidR="00397BB2">
        <w:rPr>
          <w:rFonts w:ascii="Arial" w:hAnsi="Arial" w:cs="Arial"/>
          <w:sz w:val="16"/>
          <w:szCs w:val="16"/>
        </w:rPr>
        <w:t>8</w:t>
      </w:r>
      <w:r>
        <w:rPr>
          <w:rFonts w:ascii="Arial" w:hAnsi="Arial" w:cs="Arial"/>
          <w:sz w:val="16"/>
          <w:szCs w:val="16"/>
        </w:rPr>
        <w:t xml:space="preserve">00 Anwälten. </w:t>
      </w:r>
    </w:p>
    <w:p w:rsidR="008907E1" w:rsidRDefault="008907E1" w:rsidP="008907E1">
      <w:pPr>
        <w:ind w:right="-2"/>
      </w:pPr>
      <w:r>
        <w:rPr>
          <w:rFonts w:ascii="Arial" w:hAnsi="Arial" w:cs="Arial"/>
          <w:i/>
          <w:iCs/>
          <w:sz w:val="16"/>
          <w:szCs w:val="16"/>
        </w:rPr>
        <w:t> </w:t>
      </w:r>
    </w:p>
    <w:p w:rsidR="007A7AA8" w:rsidRPr="00B918CB" w:rsidRDefault="007A7AA8" w:rsidP="007A7AA8">
      <w:pPr>
        <w:ind w:right="-2"/>
        <w:rPr>
          <w:rFonts w:ascii="Arial" w:hAnsi="Arial" w:cs="Arial"/>
          <w:sz w:val="16"/>
          <w:szCs w:val="16"/>
        </w:rPr>
      </w:pPr>
      <w:r w:rsidRPr="007A7AA8">
        <w:rPr>
          <w:rFonts w:ascii="Arial" w:hAnsi="Arial" w:cs="Arial"/>
          <w:b/>
          <w:sz w:val="16"/>
          <w:szCs w:val="16"/>
        </w:rPr>
        <w:t xml:space="preserve">CMS </w:t>
      </w:r>
      <w:proofErr w:type="spellStart"/>
      <w:r w:rsidRPr="007A7AA8">
        <w:rPr>
          <w:rFonts w:ascii="Arial" w:hAnsi="Arial" w:cs="Arial"/>
          <w:b/>
          <w:sz w:val="16"/>
          <w:szCs w:val="16"/>
        </w:rPr>
        <w:t>member</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firms</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are</w:t>
      </w:r>
      <w:proofErr w:type="spellEnd"/>
      <w:r w:rsidRPr="007A7AA8">
        <w:rPr>
          <w:rFonts w:ascii="Arial" w:hAnsi="Arial" w:cs="Arial"/>
          <w:b/>
          <w:sz w:val="16"/>
          <w:szCs w:val="16"/>
        </w:rPr>
        <w:t>:</w:t>
      </w:r>
      <w:r w:rsidRPr="007A7AA8">
        <w:rPr>
          <w:rFonts w:ascii="Arial" w:hAnsi="Arial" w:cs="Arial"/>
          <w:sz w:val="16"/>
          <w:szCs w:val="16"/>
        </w:rPr>
        <w:t xml:space="preserve"> CMS </w:t>
      </w:r>
      <w:proofErr w:type="spellStart"/>
      <w:r w:rsidRPr="007A7AA8">
        <w:rPr>
          <w:rFonts w:ascii="Arial" w:hAnsi="Arial" w:cs="Arial"/>
          <w:sz w:val="16"/>
          <w:szCs w:val="16"/>
        </w:rPr>
        <w:t>Adonnino</w:t>
      </w:r>
      <w:proofErr w:type="spellEnd"/>
      <w:r w:rsidRPr="007A7AA8">
        <w:rPr>
          <w:rFonts w:ascii="Arial" w:hAnsi="Arial" w:cs="Arial"/>
          <w:sz w:val="16"/>
          <w:szCs w:val="16"/>
        </w:rPr>
        <w:t xml:space="preserve"> </w:t>
      </w:r>
      <w:proofErr w:type="spellStart"/>
      <w:r w:rsidRPr="007A7AA8">
        <w:rPr>
          <w:rFonts w:ascii="Arial" w:hAnsi="Arial" w:cs="Arial"/>
          <w:sz w:val="16"/>
          <w:szCs w:val="16"/>
        </w:rPr>
        <w:t>Ascoli</w:t>
      </w:r>
      <w:proofErr w:type="spellEnd"/>
      <w:r w:rsidRPr="007A7AA8">
        <w:rPr>
          <w:rFonts w:ascii="Arial" w:hAnsi="Arial" w:cs="Arial"/>
          <w:sz w:val="16"/>
          <w:szCs w:val="16"/>
        </w:rPr>
        <w:t xml:space="preserve"> &amp; </w:t>
      </w:r>
      <w:proofErr w:type="spellStart"/>
      <w:r w:rsidRPr="007A7AA8">
        <w:rPr>
          <w:rFonts w:ascii="Arial" w:hAnsi="Arial" w:cs="Arial"/>
          <w:sz w:val="16"/>
          <w:szCs w:val="16"/>
        </w:rPr>
        <w:t>Cavasola</w:t>
      </w:r>
      <w:proofErr w:type="spellEnd"/>
      <w:r w:rsidRPr="007A7AA8">
        <w:rPr>
          <w:rFonts w:ascii="Arial" w:hAnsi="Arial" w:cs="Arial"/>
          <w:sz w:val="16"/>
          <w:szCs w:val="16"/>
        </w:rPr>
        <w:t xml:space="preserve"> </w:t>
      </w:r>
      <w:proofErr w:type="spellStart"/>
      <w:r w:rsidRPr="007A7AA8">
        <w:rPr>
          <w:rFonts w:ascii="Arial" w:hAnsi="Arial" w:cs="Arial"/>
          <w:sz w:val="16"/>
          <w:szCs w:val="16"/>
        </w:rPr>
        <w:t>Scamoni</w:t>
      </w:r>
      <w:proofErr w:type="spellEnd"/>
      <w:r w:rsidRPr="007A7AA8">
        <w:rPr>
          <w:rFonts w:ascii="Arial" w:hAnsi="Arial" w:cs="Arial"/>
          <w:sz w:val="16"/>
          <w:szCs w:val="16"/>
        </w:rPr>
        <w:t xml:space="preserve"> (</w:t>
      </w:r>
      <w:proofErr w:type="spellStart"/>
      <w:r w:rsidRPr="007A7AA8">
        <w:rPr>
          <w:rFonts w:ascii="Arial" w:hAnsi="Arial" w:cs="Arial"/>
          <w:sz w:val="16"/>
          <w:szCs w:val="16"/>
        </w:rPr>
        <w:t>Italy</w:t>
      </w:r>
      <w:proofErr w:type="spellEnd"/>
      <w:r w:rsidRPr="007A7AA8">
        <w:rPr>
          <w:rFonts w:ascii="Arial" w:hAnsi="Arial" w:cs="Arial"/>
          <w:sz w:val="16"/>
          <w:szCs w:val="16"/>
        </w:rPr>
        <w:t xml:space="preserve">); CMS </w:t>
      </w:r>
      <w:proofErr w:type="spellStart"/>
      <w:r w:rsidRPr="007A7AA8">
        <w:rPr>
          <w:rFonts w:ascii="Arial" w:hAnsi="Arial" w:cs="Arial"/>
          <w:sz w:val="16"/>
          <w:szCs w:val="16"/>
        </w:rPr>
        <w:t>Albiñana</w:t>
      </w:r>
      <w:proofErr w:type="spellEnd"/>
      <w:r w:rsidRPr="007A7AA8">
        <w:rPr>
          <w:rFonts w:ascii="Arial" w:hAnsi="Arial" w:cs="Arial"/>
          <w:sz w:val="16"/>
          <w:szCs w:val="16"/>
        </w:rPr>
        <w:t xml:space="preserve"> &amp; Suárez de </w:t>
      </w:r>
      <w:proofErr w:type="spellStart"/>
      <w:r w:rsidRPr="007A7AA8">
        <w:rPr>
          <w:rFonts w:ascii="Arial" w:hAnsi="Arial" w:cs="Arial"/>
          <w:sz w:val="16"/>
          <w:szCs w:val="16"/>
        </w:rPr>
        <w:t>Lezo</w:t>
      </w:r>
      <w:proofErr w:type="spellEnd"/>
      <w:r w:rsidRPr="007A7AA8">
        <w:rPr>
          <w:rFonts w:ascii="Arial" w:hAnsi="Arial" w:cs="Arial"/>
          <w:sz w:val="16"/>
          <w:szCs w:val="16"/>
        </w:rPr>
        <w:t xml:space="preserve">, S.L.P. (Spain); CMS </w:t>
      </w:r>
      <w:proofErr w:type="spellStart"/>
      <w:r w:rsidRPr="007A7AA8">
        <w:rPr>
          <w:rFonts w:ascii="Arial" w:hAnsi="Arial" w:cs="Arial"/>
          <w:sz w:val="16"/>
          <w:szCs w:val="16"/>
        </w:rPr>
        <w:t>Bureau</w:t>
      </w:r>
      <w:proofErr w:type="spellEnd"/>
      <w:r w:rsidRPr="007A7AA8">
        <w:rPr>
          <w:rFonts w:ascii="Arial" w:hAnsi="Arial" w:cs="Arial"/>
          <w:sz w:val="16"/>
          <w:szCs w:val="16"/>
        </w:rPr>
        <w:t xml:space="preserve"> Francis Lefebvre (France); CMS Cameron McKenna LLP (UK); CMS </w:t>
      </w:r>
      <w:proofErr w:type="spellStart"/>
      <w:r w:rsidRPr="007A7AA8">
        <w:rPr>
          <w:rFonts w:ascii="Arial" w:hAnsi="Arial" w:cs="Arial"/>
          <w:sz w:val="16"/>
          <w:szCs w:val="16"/>
        </w:rPr>
        <w:t>DeBacker</w:t>
      </w:r>
      <w:proofErr w:type="spellEnd"/>
      <w:r w:rsidRPr="007A7AA8">
        <w:rPr>
          <w:rFonts w:ascii="Arial" w:hAnsi="Arial" w:cs="Arial"/>
          <w:sz w:val="16"/>
          <w:szCs w:val="16"/>
        </w:rPr>
        <w:t xml:space="preserve"> </w:t>
      </w:r>
      <w:proofErr w:type="spellStart"/>
      <w:r w:rsidRPr="007A7AA8">
        <w:rPr>
          <w:rFonts w:ascii="Arial" w:hAnsi="Arial" w:cs="Arial"/>
          <w:sz w:val="16"/>
          <w:szCs w:val="16"/>
        </w:rPr>
        <w:t>Leclère</w:t>
      </w:r>
      <w:proofErr w:type="spellEnd"/>
      <w:r w:rsidRPr="007A7AA8">
        <w:rPr>
          <w:rFonts w:ascii="Arial" w:hAnsi="Arial" w:cs="Arial"/>
          <w:sz w:val="16"/>
          <w:szCs w:val="16"/>
        </w:rPr>
        <w:t xml:space="preserve"> </w:t>
      </w:r>
      <w:proofErr w:type="spellStart"/>
      <w:r w:rsidRPr="007A7AA8">
        <w:rPr>
          <w:rFonts w:ascii="Arial" w:hAnsi="Arial" w:cs="Arial"/>
          <w:sz w:val="16"/>
          <w:szCs w:val="16"/>
        </w:rPr>
        <w:t>Walry</w:t>
      </w:r>
      <w:proofErr w:type="spellEnd"/>
      <w:r w:rsidRPr="007A7AA8">
        <w:rPr>
          <w:rFonts w:ascii="Arial" w:hAnsi="Arial" w:cs="Arial"/>
          <w:sz w:val="16"/>
          <w:szCs w:val="16"/>
        </w:rPr>
        <w:t xml:space="preserve"> (</w:t>
      </w:r>
      <w:proofErr w:type="spellStart"/>
      <w:r w:rsidRPr="007A7AA8">
        <w:rPr>
          <w:rFonts w:ascii="Arial" w:hAnsi="Arial" w:cs="Arial"/>
          <w:sz w:val="16"/>
          <w:szCs w:val="16"/>
        </w:rPr>
        <w:t>Belgium</w:t>
      </w:r>
      <w:proofErr w:type="spellEnd"/>
      <w:r w:rsidRPr="007A7AA8">
        <w:rPr>
          <w:rFonts w:ascii="Arial" w:hAnsi="Arial" w:cs="Arial"/>
          <w:sz w:val="16"/>
          <w:szCs w:val="16"/>
        </w:rPr>
        <w:t xml:space="preserve">); CMS Derks Star </w:t>
      </w:r>
      <w:proofErr w:type="spellStart"/>
      <w:r w:rsidRPr="007A7AA8">
        <w:rPr>
          <w:rFonts w:ascii="Arial" w:hAnsi="Arial" w:cs="Arial"/>
          <w:sz w:val="16"/>
          <w:szCs w:val="16"/>
        </w:rPr>
        <w:t>Busmann</w:t>
      </w:r>
      <w:proofErr w:type="spellEnd"/>
      <w:r w:rsidRPr="007A7AA8">
        <w:rPr>
          <w:rFonts w:ascii="Arial" w:hAnsi="Arial" w:cs="Arial"/>
          <w:sz w:val="16"/>
          <w:szCs w:val="16"/>
        </w:rPr>
        <w:t xml:space="preserve"> (The </w:t>
      </w:r>
      <w:proofErr w:type="spellStart"/>
      <w:r w:rsidRPr="007A7AA8">
        <w:rPr>
          <w:rFonts w:ascii="Arial" w:hAnsi="Arial" w:cs="Arial"/>
          <w:sz w:val="16"/>
          <w:szCs w:val="16"/>
        </w:rPr>
        <w:t>Netherlands</w:t>
      </w:r>
      <w:proofErr w:type="spellEnd"/>
      <w:r w:rsidRPr="007A7AA8">
        <w:rPr>
          <w:rFonts w:ascii="Arial" w:hAnsi="Arial" w:cs="Arial"/>
          <w:sz w:val="16"/>
          <w:szCs w:val="16"/>
        </w:rPr>
        <w:t xml:space="preserve">); CMS von </w:t>
      </w:r>
      <w:proofErr w:type="spellStart"/>
      <w:r w:rsidRPr="007A7AA8">
        <w:rPr>
          <w:rFonts w:ascii="Arial" w:hAnsi="Arial" w:cs="Arial"/>
          <w:sz w:val="16"/>
          <w:szCs w:val="16"/>
        </w:rPr>
        <w:t>Erlach</w:t>
      </w:r>
      <w:proofErr w:type="spellEnd"/>
      <w:r w:rsidRPr="007A7AA8">
        <w:rPr>
          <w:rFonts w:ascii="Arial" w:hAnsi="Arial" w:cs="Arial"/>
          <w:sz w:val="16"/>
          <w:szCs w:val="16"/>
        </w:rPr>
        <w:t xml:space="preserve"> </w:t>
      </w:r>
      <w:proofErr w:type="spellStart"/>
      <w:r w:rsidRPr="007A7AA8">
        <w:rPr>
          <w:rFonts w:ascii="Arial" w:hAnsi="Arial" w:cs="Arial"/>
          <w:sz w:val="16"/>
          <w:szCs w:val="16"/>
        </w:rPr>
        <w:t>Henrici</w:t>
      </w:r>
      <w:proofErr w:type="spellEnd"/>
      <w:r w:rsidRPr="007A7AA8">
        <w:rPr>
          <w:rFonts w:ascii="Arial" w:hAnsi="Arial" w:cs="Arial"/>
          <w:sz w:val="16"/>
          <w:szCs w:val="16"/>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Rechtsanwälte GmbH (Austria).</w:t>
      </w:r>
    </w:p>
    <w:p w:rsidR="007A7AA8" w:rsidRPr="00B918CB" w:rsidRDefault="007A7AA8" w:rsidP="007A7AA8">
      <w:pPr>
        <w:ind w:right="-2"/>
        <w:rPr>
          <w:rFonts w:ascii="Arial" w:hAnsi="Arial" w:cs="Arial"/>
          <w:sz w:val="16"/>
          <w:szCs w:val="16"/>
        </w:rPr>
      </w:pPr>
    </w:p>
    <w:p w:rsidR="008907E1" w:rsidRPr="00DB6CFA" w:rsidRDefault="007A7AA8" w:rsidP="007A7AA8">
      <w:pPr>
        <w:ind w:right="-2"/>
        <w:rPr>
          <w:lang w:val="en-GB"/>
        </w:rPr>
      </w:pPr>
      <w:r w:rsidRPr="00DB6CFA">
        <w:rPr>
          <w:rFonts w:ascii="Arial" w:hAnsi="Arial" w:cs="Arial"/>
          <w:b/>
          <w:sz w:val="16"/>
          <w:szCs w:val="16"/>
          <w:lang w:val="en-GB"/>
        </w:rPr>
        <w:lastRenderedPageBreak/>
        <w:t>CMS offices and associated offices:</w:t>
      </w:r>
      <w:r w:rsidRPr="00DB6CFA">
        <w:rPr>
          <w:rFonts w:ascii="Arial" w:hAnsi="Arial" w:cs="Arial"/>
          <w:sz w:val="16"/>
          <w:szCs w:val="16"/>
          <w:lang w:val="en-GB"/>
        </w:rPr>
        <w:t xml:space="preserve"> Amsterdam, Berlin, Brussels, London, Madrid, Paris, Rome, Vienna, Zurich, Aberdeen, Algiers, Antwerp, Beijing, Belgrade, Bratislava, Bristol, Bucharest, Budapest, Buenos Aires, Casablanca, Cologne, Dresden, </w:t>
      </w:r>
      <w:proofErr w:type="spellStart"/>
      <w:r w:rsidRPr="00DB6CFA">
        <w:rPr>
          <w:rFonts w:ascii="Arial" w:hAnsi="Arial" w:cs="Arial"/>
          <w:sz w:val="16"/>
          <w:szCs w:val="16"/>
          <w:lang w:val="en-GB"/>
        </w:rPr>
        <w:t>Duesseldorf</w:t>
      </w:r>
      <w:proofErr w:type="spellEnd"/>
      <w:r w:rsidRPr="00DB6CFA">
        <w:rPr>
          <w:rFonts w:ascii="Arial" w:hAnsi="Arial" w:cs="Arial"/>
          <w:sz w:val="16"/>
          <w:szCs w:val="16"/>
          <w:lang w:val="en-GB"/>
        </w:rPr>
        <w:t xml:space="preserve">, Edinburgh, Frankfurt, Hamburg, Kyiv, Leipzig, Ljubljana, Luxembourg, Lyon, Marbella, Milan, Montevideo, Moscow, Munich, Prague, Rio de Janeiro, Sarajevo, Seville, Shanghai, Sofia, Strasbourg, Stuttgart, </w:t>
      </w:r>
      <w:r w:rsidR="009D35F3" w:rsidRPr="00DB6CFA">
        <w:rPr>
          <w:rFonts w:ascii="Arial" w:hAnsi="Arial" w:cs="Arial"/>
          <w:sz w:val="16"/>
          <w:szCs w:val="16"/>
          <w:lang w:val="en-GB"/>
        </w:rPr>
        <w:t xml:space="preserve">Tirana, </w:t>
      </w:r>
      <w:r w:rsidRPr="00DB6CFA">
        <w:rPr>
          <w:rFonts w:ascii="Arial" w:hAnsi="Arial" w:cs="Arial"/>
          <w:sz w:val="16"/>
          <w:szCs w:val="16"/>
          <w:lang w:val="en-GB"/>
        </w:rPr>
        <w:t>Utrecht, Warsaw and Zagreb.</w:t>
      </w:r>
      <w:r w:rsidR="008907E1" w:rsidRPr="00DB6CFA">
        <w:rPr>
          <w:rFonts w:ascii="Arial" w:hAnsi="Arial" w:cs="Arial"/>
          <w:sz w:val="16"/>
          <w:szCs w:val="16"/>
          <w:lang w:val="en-GB"/>
        </w:rPr>
        <w:t xml:space="preserve"> </w:t>
      </w:r>
    </w:p>
    <w:p w:rsidR="00C8763F" w:rsidRPr="00DB6CFA" w:rsidRDefault="00C8763F" w:rsidP="00C8763F">
      <w:pPr>
        <w:pStyle w:val="Beilagen"/>
        <w:spacing w:line="360" w:lineRule="exact"/>
        <w:ind w:left="0" w:firstLine="0"/>
        <w:rPr>
          <w:rFonts w:ascii="Arial" w:hAnsi="Arial" w:cs="Arial"/>
          <w:sz w:val="24"/>
          <w:szCs w:val="24"/>
          <w:lang w:val="en-GB"/>
        </w:rPr>
      </w:pPr>
    </w:p>
    <w:sectPr w:rsidR="00C8763F" w:rsidRPr="00DB6CFA" w:rsidSect="008C02DD">
      <w:headerReference w:type="default" r:id="rId14"/>
      <w:headerReference w:type="first" r:id="rId15"/>
      <w:footerReference w:type="first" r:id="rId16"/>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FA" w:rsidRDefault="00DB6CFA">
      <w:r>
        <w:separator/>
      </w:r>
    </w:p>
  </w:endnote>
  <w:endnote w:type="continuationSeparator" w:id="0">
    <w:p w:rsidR="00DB6CFA" w:rsidRDefault="00DB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493096" w:rsidRDefault="006D2DF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6D2DFD" w:rsidRPr="00493096" w:rsidRDefault="006D2DF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6D2DFD" w:rsidRPr="00FC7E04" w:rsidRDefault="006D2DFD"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Beijing, Belgrade, Berlin, Bratislava, Bristol, Brussels, Bucharest, Budapest, Buenos Aires, Casablanca, Cologne, Dresden, Dusseldorf, Edinburgh, Frankfurt, Hamburg, Kyiv, Leipzig, Ljubljana, London,</w:t>
    </w:r>
    <w:r>
      <w:rPr>
        <w:rStyle w:val="Third"/>
        <w:rFonts w:ascii="Arial Narrow" w:hAnsi="Arial Narrow"/>
        <w:bCs/>
        <w:lang w:val="nl-BE"/>
      </w:rPr>
      <w:t xml:space="preserve"> Luxembourg, </w:t>
    </w:r>
    <w:r w:rsidRPr="00762601">
      <w:rPr>
        <w:rStyle w:val="Third"/>
        <w:rFonts w:ascii="Arial Narrow" w:hAnsi="Arial Narrow"/>
        <w:bCs/>
        <w:lang w:val="nl-BE"/>
      </w:rPr>
      <w:t xml:space="preserve">Lyon, Madrid, Marbella, Milan, Montevideo, Moscow, Munich, New York, Paris, Prague, Rome, </w:t>
    </w:r>
    <w:r>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FA" w:rsidRDefault="00DB6CFA">
      <w:r>
        <w:separator/>
      </w:r>
    </w:p>
  </w:footnote>
  <w:footnote w:type="continuationSeparator" w:id="0">
    <w:p w:rsidR="00DB6CFA" w:rsidRDefault="00DB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Default="006D2DF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DB6CFA">
      <w:rPr>
        <w:rStyle w:val="Seitenzahl"/>
        <w:noProof/>
        <w:sz w:val="22"/>
      </w:rPr>
      <w:t>2</w:t>
    </w:r>
    <w:r>
      <w:rPr>
        <w:rStyle w:val="Seitenzahl"/>
        <w:sz w:val="22"/>
      </w:rPr>
      <w:fldChar w:fldCharType="end"/>
    </w:r>
  </w:p>
  <w:p w:rsidR="006D2DFD" w:rsidRDefault="006D2DFD">
    <w:pPr>
      <w:pStyle w:val="Kopfzeile"/>
      <w:tabs>
        <w:tab w:val="clear" w:pos="4536"/>
        <w:tab w:val="clear" w:pos="9072"/>
        <w:tab w:val="center" w:pos="4678"/>
        <w:tab w:val="right" w:pos="9356"/>
      </w:tabs>
      <w:rPr>
        <w:rStyle w:val="Seitenzahl"/>
        <w:sz w:val="22"/>
      </w:rPr>
    </w:pPr>
  </w:p>
  <w:p w:rsidR="006D2DFD" w:rsidRDefault="006D2DF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5E7F5F" w:rsidRDefault="009E69EB" w:rsidP="009E69EB">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FA"/>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06F9"/>
    <w:rsid w:val="0024304B"/>
    <w:rsid w:val="0024649C"/>
    <w:rsid w:val="002544C3"/>
    <w:rsid w:val="00272E4C"/>
    <w:rsid w:val="00283B8C"/>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97BB2"/>
    <w:rsid w:val="003A06ED"/>
    <w:rsid w:val="003C0088"/>
    <w:rsid w:val="003C7A70"/>
    <w:rsid w:val="003C7CAE"/>
    <w:rsid w:val="003D5025"/>
    <w:rsid w:val="003E2442"/>
    <w:rsid w:val="003E7838"/>
    <w:rsid w:val="003F1DC4"/>
    <w:rsid w:val="003F26BA"/>
    <w:rsid w:val="00401A38"/>
    <w:rsid w:val="00407A24"/>
    <w:rsid w:val="004216D0"/>
    <w:rsid w:val="0042462B"/>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55EF"/>
    <w:rsid w:val="006474AF"/>
    <w:rsid w:val="00656027"/>
    <w:rsid w:val="00664B40"/>
    <w:rsid w:val="00665FE3"/>
    <w:rsid w:val="00696E9D"/>
    <w:rsid w:val="006A6BED"/>
    <w:rsid w:val="006B28B0"/>
    <w:rsid w:val="006C09B0"/>
    <w:rsid w:val="006C6EE7"/>
    <w:rsid w:val="006D2DFD"/>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A7A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D35F3"/>
    <w:rsid w:val="009E5FE9"/>
    <w:rsid w:val="009E69EB"/>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B6CFA"/>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5D3D"/>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character" w:customStyle="1" w:styleId="KopfzeileZchn">
    <w:name w:val="Kopfzeile Zchn"/>
    <w:basedOn w:val="Absatz-Standardschriftart"/>
    <w:link w:val="Kopfzeile"/>
    <w:rsid w:val="00DB6CFA"/>
    <w:rPr>
      <w:sz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character" w:customStyle="1" w:styleId="KopfzeileZchn">
    <w:name w:val="Kopfzeile Zchn"/>
    <w:basedOn w:val="Absatz-Standardschriftart"/>
    <w:link w:val="Kopfzeile"/>
    <w:rsid w:val="00DB6CFA"/>
    <w:rPr>
      <w:sz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uides.cmslegal.com/greenleases/index.aspx" TargetMode="External"/><Relationship Id="rId13" Type="http://schemas.openxmlformats.org/officeDocument/2006/relationships/hyperlink" Target="http://www.cms-rr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uides.cmslegal.com/greenleases/index.aspx" TargetMode="External"/><Relationship Id="rId12" Type="http://schemas.openxmlformats.org/officeDocument/2006/relationships/hyperlink" Target="mailto:kristijana.lastro@cms-rrh.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gnb.de/_en/index.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reeam.org/" TargetMode="External"/><Relationship Id="rId4" Type="http://schemas.openxmlformats.org/officeDocument/2006/relationships/webSettings" Target="webSettings.xml"/><Relationship Id="rId9" Type="http://schemas.openxmlformats.org/officeDocument/2006/relationships/hyperlink" Target="http://www.usgbc.org/DisplayPage.aspx?CMSPageID=198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3</Pages>
  <Words>1157</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8437</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2011-11-28T10:54:00Z</dcterms:created>
  <dcterms:modified xsi:type="dcterms:W3CDTF">2011-11-28T10:55:00Z</dcterms:modified>
</cp:coreProperties>
</file>