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8E1952" w:rsidRPr="008E1952" w:rsidRDefault="008E1952" w:rsidP="00C8763F">
      <w:pPr>
        <w:rPr>
          <w:rFonts w:ascii="Arial" w:hAnsi="Arial" w:cs="Arial"/>
          <w:noProof/>
          <w:sz w:val="20"/>
          <w:lang w:val="de-DE"/>
        </w:rPr>
      </w:pPr>
      <w:r w:rsidRPr="008E1952">
        <w:rPr>
          <w:rFonts w:ascii="Arial" w:hAnsi="Arial" w:cs="Arial"/>
          <w:noProof/>
          <w:sz w:val="20"/>
          <w:lang w:val="de-DE"/>
        </w:rPr>
        <w:t>Wien, 10. September 2010</w:t>
      </w:r>
    </w:p>
    <w:p w:rsidR="008E1952" w:rsidRDefault="008E1952" w:rsidP="00C8763F">
      <w:pPr>
        <w:rPr>
          <w:rFonts w:ascii="Arial" w:hAnsi="Arial" w:cs="Arial"/>
          <w:b/>
          <w:noProof/>
          <w:sz w:val="20"/>
          <w:lang w:val="de-DE"/>
        </w:rPr>
      </w:pPr>
    </w:p>
    <w:p w:rsidR="00C8763F" w:rsidRPr="00F07F28" w:rsidRDefault="00F07F28" w:rsidP="00C8763F">
      <w:pPr>
        <w:rPr>
          <w:rFonts w:ascii="Arial" w:hAnsi="Arial" w:cs="Arial"/>
          <w:b/>
          <w:noProof/>
          <w:sz w:val="20"/>
          <w:lang w:val="de-DE"/>
        </w:rPr>
      </w:pPr>
      <w:r w:rsidRPr="00F07F28">
        <w:rPr>
          <w:rFonts w:ascii="Arial" w:hAnsi="Arial" w:cs="Arial"/>
          <w:b/>
          <w:noProof/>
          <w:sz w:val="20"/>
          <w:lang w:val="de-DE"/>
        </w:rPr>
        <w:t>CMS publiziert 3. Ausgabe des PPP-Guides</w:t>
      </w:r>
    </w:p>
    <w:p w:rsidR="00C8763F" w:rsidRPr="00C743FB" w:rsidRDefault="00C8763F" w:rsidP="00532680">
      <w:pPr>
        <w:rPr>
          <w:rFonts w:ascii="Arial" w:hAnsi="Arial" w:cs="Arial"/>
          <w:noProof/>
          <w:sz w:val="20"/>
          <w:lang w:val="de-DE"/>
        </w:rPr>
      </w:pPr>
    </w:p>
    <w:p w:rsidR="00532680" w:rsidRPr="002A58D4" w:rsidRDefault="00532680" w:rsidP="00532680">
      <w:pPr>
        <w:rPr>
          <w:rFonts w:ascii="Arial" w:hAnsi="Arial" w:cs="Arial"/>
          <w:b/>
          <w:sz w:val="20"/>
        </w:rPr>
      </w:pPr>
      <w:r w:rsidRPr="002A58D4">
        <w:rPr>
          <w:rFonts w:ascii="Arial" w:hAnsi="Arial" w:cs="Arial"/>
          <w:b/>
          <w:sz w:val="20"/>
          <w:lang w:val="x-none"/>
        </w:rPr>
        <w:t>Der aktuelle PPP-Guide von CMS ist ein umfassendes Nachschlagewerk</w:t>
      </w:r>
      <w:r>
        <w:rPr>
          <w:rFonts w:ascii="Arial" w:hAnsi="Arial" w:cs="Arial"/>
          <w:b/>
          <w:sz w:val="20"/>
          <w:lang w:val="x-none"/>
        </w:rPr>
        <w:t>, das</w:t>
      </w:r>
      <w:r w:rsidRPr="002A58D4">
        <w:rPr>
          <w:rFonts w:ascii="Arial" w:hAnsi="Arial" w:cs="Arial"/>
          <w:b/>
          <w:sz w:val="20"/>
          <w:lang w:val="x-none"/>
        </w:rPr>
        <w:t xml:space="preserve"> die derzeitigen Bedingungen für öffentlich-priva</w:t>
      </w:r>
      <w:bookmarkStart w:id="0" w:name="_GoBack"/>
      <w:bookmarkEnd w:id="0"/>
      <w:r w:rsidRPr="002A58D4">
        <w:rPr>
          <w:rFonts w:ascii="Arial" w:hAnsi="Arial" w:cs="Arial"/>
          <w:b/>
          <w:sz w:val="20"/>
          <w:lang w:val="x-none"/>
        </w:rPr>
        <w:t xml:space="preserve">te Partnerschaften (PPPs) in 21 europäischen Ländern </w:t>
      </w:r>
      <w:r>
        <w:rPr>
          <w:rFonts w:ascii="Arial" w:hAnsi="Arial" w:cs="Arial"/>
          <w:b/>
          <w:sz w:val="20"/>
          <w:lang w:val="x-none"/>
        </w:rPr>
        <w:t>darstellt</w:t>
      </w:r>
      <w:r w:rsidRPr="002A58D4">
        <w:rPr>
          <w:rFonts w:ascii="Arial" w:hAnsi="Arial" w:cs="Arial"/>
          <w:b/>
          <w:sz w:val="20"/>
          <w:lang w:val="x-none"/>
        </w:rPr>
        <w:t xml:space="preserve">. CMS betrachtet die künftige Entwicklung von PPPs bei anhaltender wirtschaftlicher Erholung optimistisch. </w:t>
      </w:r>
    </w:p>
    <w:p w:rsidR="00532680" w:rsidRPr="002A58D4" w:rsidRDefault="00532680" w:rsidP="00532680">
      <w:pPr>
        <w:rPr>
          <w:rFonts w:ascii="Arial" w:hAnsi="Arial" w:cs="Arial"/>
          <w:sz w:val="20"/>
        </w:rPr>
      </w:pPr>
    </w:p>
    <w:p w:rsidR="00532680" w:rsidRPr="002A58D4" w:rsidRDefault="00532680" w:rsidP="00532680">
      <w:pPr>
        <w:spacing w:after="240"/>
        <w:rPr>
          <w:rFonts w:ascii="Arial" w:hAnsi="Arial" w:cs="Arial"/>
          <w:sz w:val="20"/>
          <w:lang w:val="x-none"/>
        </w:rPr>
      </w:pPr>
      <w:r w:rsidRPr="002A58D4">
        <w:rPr>
          <w:rFonts w:ascii="Arial" w:hAnsi="Arial" w:cs="Arial"/>
          <w:sz w:val="20"/>
          <w:lang w:val="x-none"/>
        </w:rPr>
        <w:t xml:space="preserve">Die führende europäische Rechts- und Steuerberatungskanzlei CMS publiziert die 3. Ausgabe des “Guide </w:t>
      </w:r>
      <w:proofErr w:type="spellStart"/>
      <w:r w:rsidRPr="002A58D4">
        <w:rPr>
          <w:rFonts w:ascii="Arial" w:hAnsi="Arial" w:cs="Arial"/>
          <w:sz w:val="20"/>
          <w:lang w:val="x-none"/>
        </w:rPr>
        <w:t>to</w:t>
      </w:r>
      <w:proofErr w:type="spellEnd"/>
      <w:r w:rsidRPr="002A58D4">
        <w:rPr>
          <w:rFonts w:ascii="Arial" w:hAnsi="Arial" w:cs="Arial"/>
          <w:sz w:val="20"/>
          <w:lang w:val="x-none"/>
        </w:rPr>
        <w:t xml:space="preserve"> PPP in Europe”, der einen profunden Einblick in die Bedingungen für Public Private </w:t>
      </w:r>
      <w:proofErr w:type="spellStart"/>
      <w:r w:rsidRPr="002A58D4">
        <w:rPr>
          <w:rFonts w:ascii="Arial" w:hAnsi="Arial" w:cs="Arial"/>
          <w:sz w:val="20"/>
          <w:lang w:val="x-none"/>
        </w:rPr>
        <w:t>Partnerships</w:t>
      </w:r>
      <w:proofErr w:type="spellEnd"/>
      <w:r w:rsidRPr="002A58D4">
        <w:rPr>
          <w:rFonts w:ascii="Arial" w:hAnsi="Arial" w:cs="Arial"/>
          <w:sz w:val="20"/>
          <w:lang w:val="x-none"/>
        </w:rPr>
        <w:t xml:space="preserve"> in 21 europäischen Ländern liefert. Das Nachschlagewerk beschreibt den länderspezifischen Umgang mit PPPs und informiert </w:t>
      </w:r>
      <w:r w:rsidRPr="002A58D4">
        <w:rPr>
          <w:rFonts w:ascii="Arial" w:hAnsi="Arial" w:cs="Arial"/>
          <w:sz w:val="20"/>
        </w:rPr>
        <w:t xml:space="preserve">jeweils </w:t>
      </w:r>
      <w:r w:rsidRPr="002A58D4">
        <w:rPr>
          <w:rFonts w:ascii="Arial" w:hAnsi="Arial" w:cs="Arial"/>
          <w:sz w:val="20"/>
          <w:lang w:val="x-none"/>
        </w:rPr>
        <w:t>über die wichtigsten makroökonomischen Rahmenbedingungen, den lokalen Finanzmarkt, das Rechtssystem und die spezifischen PPP-relevanten Gesetze und Regelungen.</w:t>
      </w:r>
    </w:p>
    <w:p w:rsidR="00532680" w:rsidRPr="002A58D4" w:rsidRDefault="00532680" w:rsidP="00532680">
      <w:pPr>
        <w:spacing w:after="240"/>
        <w:ind w:right="493"/>
        <w:rPr>
          <w:rFonts w:ascii="Arial" w:hAnsi="Arial" w:cs="Arial"/>
          <w:sz w:val="20"/>
        </w:rPr>
      </w:pPr>
      <w:r w:rsidRPr="002A58D4">
        <w:rPr>
          <w:rFonts w:ascii="Arial" w:hAnsi="Arial" w:cs="Arial"/>
          <w:sz w:val="20"/>
        </w:rPr>
        <w:t>PPPs haben in den vergangenen Jahren einen wesentlichen Beitrag zur wirtschaftlichen Entwic</w:t>
      </w:r>
      <w:r w:rsidRPr="002A58D4">
        <w:rPr>
          <w:rFonts w:ascii="Arial" w:hAnsi="Arial" w:cs="Arial"/>
          <w:sz w:val="20"/>
        </w:rPr>
        <w:t>k</w:t>
      </w:r>
      <w:r w:rsidRPr="002A58D4">
        <w:rPr>
          <w:rFonts w:ascii="Arial" w:hAnsi="Arial" w:cs="Arial"/>
          <w:sz w:val="20"/>
        </w:rPr>
        <w:t xml:space="preserve">lung in den untersuchten Ländern geleistet. </w:t>
      </w:r>
      <w:smartTag w:uri="urn:schemas-microsoft-com:office:smarttags" w:element="PersonName">
        <w:r w:rsidRPr="002A58D4">
          <w:rPr>
            <w:rFonts w:ascii="Arial" w:hAnsi="Arial" w:cs="Arial"/>
            <w:sz w:val="20"/>
          </w:rPr>
          <w:t>Thomas Hamerl</w:t>
        </w:r>
      </w:smartTag>
      <w:r w:rsidRPr="002A58D4">
        <w:rPr>
          <w:rFonts w:ascii="Arial" w:hAnsi="Arial" w:cs="Arial"/>
          <w:sz w:val="20"/>
        </w:rPr>
        <w:t>, Rechtsanwalt und PPP-Experte bei CMS erläutert die Vorteile: „PPPs ermöglichen die rasche Umsetzung dringend benötigter Infr</w:t>
      </w:r>
      <w:r w:rsidRPr="002A58D4">
        <w:rPr>
          <w:rFonts w:ascii="Arial" w:hAnsi="Arial" w:cs="Arial"/>
          <w:sz w:val="20"/>
        </w:rPr>
        <w:t>a</w:t>
      </w:r>
      <w:r w:rsidRPr="002A58D4">
        <w:rPr>
          <w:rFonts w:ascii="Arial" w:hAnsi="Arial" w:cs="Arial"/>
          <w:sz w:val="20"/>
        </w:rPr>
        <w:t xml:space="preserve">strukturprojekte mit privatem </w:t>
      </w:r>
      <w:proofErr w:type="spellStart"/>
      <w:r w:rsidRPr="002A58D4">
        <w:rPr>
          <w:rFonts w:ascii="Arial" w:hAnsi="Arial" w:cs="Arial"/>
          <w:sz w:val="20"/>
        </w:rPr>
        <w:t>Know</w:t>
      </w:r>
      <w:proofErr w:type="spellEnd"/>
      <w:r w:rsidRPr="002A58D4">
        <w:rPr>
          <w:rFonts w:ascii="Arial" w:hAnsi="Arial" w:cs="Arial"/>
          <w:sz w:val="20"/>
        </w:rPr>
        <w:t xml:space="preserve"> </w:t>
      </w:r>
      <w:proofErr w:type="spellStart"/>
      <w:r>
        <w:rPr>
          <w:rFonts w:ascii="Arial" w:hAnsi="Arial" w:cs="Arial"/>
          <w:sz w:val="20"/>
        </w:rPr>
        <w:t>h</w:t>
      </w:r>
      <w:r w:rsidRPr="002A58D4">
        <w:rPr>
          <w:rFonts w:ascii="Arial" w:hAnsi="Arial" w:cs="Arial"/>
          <w:sz w:val="20"/>
        </w:rPr>
        <w:t>ow</w:t>
      </w:r>
      <w:proofErr w:type="spellEnd"/>
      <w:r w:rsidRPr="002A58D4">
        <w:rPr>
          <w:rFonts w:ascii="Arial" w:hAnsi="Arial" w:cs="Arial"/>
          <w:sz w:val="20"/>
        </w:rPr>
        <w:t xml:space="preserve"> und privatem Kapital. Die begrenzten öffentlichen Mittel </w:t>
      </w:r>
      <w:r>
        <w:rPr>
          <w:rFonts w:ascii="Arial" w:hAnsi="Arial" w:cs="Arial"/>
          <w:sz w:val="20"/>
        </w:rPr>
        <w:t>stehen</w:t>
      </w:r>
      <w:r w:rsidRPr="002A58D4">
        <w:rPr>
          <w:rFonts w:ascii="Arial" w:hAnsi="Arial" w:cs="Arial"/>
          <w:sz w:val="20"/>
        </w:rPr>
        <w:t xml:space="preserve"> für andere Zwecke </w:t>
      </w:r>
      <w:r>
        <w:rPr>
          <w:rFonts w:ascii="Arial" w:hAnsi="Arial" w:cs="Arial"/>
          <w:sz w:val="20"/>
        </w:rPr>
        <w:t>zur V</w:t>
      </w:r>
      <w:r w:rsidRPr="002A58D4">
        <w:rPr>
          <w:rFonts w:ascii="Arial" w:hAnsi="Arial" w:cs="Arial"/>
          <w:sz w:val="20"/>
        </w:rPr>
        <w:t>er</w:t>
      </w:r>
      <w:r>
        <w:rPr>
          <w:rFonts w:ascii="Arial" w:hAnsi="Arial" w:cs="Arial"/>
          <w:sz w:val="20"/>
        </w:rPr>
        <w:t>fügung</w:t>
      </w:r>
      <w:r w:rsidRPr="002A58D4">
        <w:rPr>
          <w:rFonts w:ascii="Arial" w:hAnsi="Arial" w:cs="Arial"/>
          <w:sz w:val="20"/>
        </w:rPr>
        <w:t>. Erfahrene Unternehmen können dadurch dauerhaft neue Geschäftsfelder erschließen. Wir von CMS sind auf die effiziente und sichere Konstruktion der ve</w:t>
      </w:r>
      <w:r w:rsidRPr="002A58D4">
        <w:rPr>
          <w:rFonts w:ascii="Arial" w:hAnsi="Arial" w:cs="Arial"/>
          <w:sz w:val="20"/>
        </w:rPr>
        <w:t>r</w:t>
      </w:r>
      <w:r w:rsidRPr="002A58D4">
        <w:rPr>
          <w:rFonts w:ascii="Arial" w:hAnsi="Arial" w:cs="Arial"/>
          <w:sz w:val="20"/>
        </w:rPr>
        <w:t xml:space="preserve">traglichen Grundlagen solcher Projekte spezialisiert“. </w:t>
      </w:r>
    </w:p>
    <w:p w:rsidR="00532680" w:rsidRPr="002A58D4" w:rsidRDefault="00532680" w:rsidP="00532680">
      <w:pPr>
        <w:spacing w:after="240"/>
        <w:ind w:right="493"/>
        <w:rPr>
          <w:rFonts w:ascii="Arial" w:hAnsi="Arial" w:cs="Arial"/>
          <w:sz w:val="20"/>
        </w:rPr>
      </w:pPr>
      <w:r w:rsidRPr="002A58D4">
        <w:rPr>
          <w:rFonts w:ascii="Arial" w:hAnsi="Arial" w:cs="Arial"/>
          <w:sz w:val="20"/>
        </w:rPr>
        <w:t>Obwohl in Österreich kein eigenes PPP-Gesetz existiert, bieten die vorhandenen EU-Richtlinien und nationalen Gesetze einen ausreichenden Rahmen für PPP-Projekte. „Durch den Einsatz öffentlich-privater Partnerschaften können Schnittstellenprobleme zwischen Pl</w:t>
      </w:r>
      <w:r w:rsidRPr="002A58D4">
        <w:rPr>
          <w:rFonts w:ascii="Arial" w:hAnsi="Arial" w:cs="Arial"/>
          <w:sz w:val="20"/>
        </w:rPr>
        <w:t>a</w:t>
      </w:r>
      <w:r w:rsidRPr="002A58D4">
        <w:rPr>
          <w:rFonts w:ascii="Arial" w:hAnsi="Arial" w:cs="Arial"/>
          <w:sz w:val="20"/>
        </w:rPr>
        <w:t>nung und Bau sowie zwischen Bau und Betrieb vermieden werden, was gerade bei großen Infrastrukturprojekten das Risiko für Kosten- und Zeitüberschreitungen reduziert und dadurch die Attraktivität und Kalkulierbarkeit für private Kapitalgeber deutlich erhöht“, so Bernt Elsner, Partner von CMS, der Potential für PPPs auch im Gesundheits- und Bildungsbereich sieht.</w:t>
      </w:r>
    </w:p>
    <w:p w:rsidR="00532680" w:rsidRPr="002A58D4" w:rsidRDefault="00532680" w:rsidP="00532680">
      <w:pPr>
        <w:spacing w:after="240"/>
        <w:ind w:right="493"/>
        <w:rPr>
          <w:rFonts w:ascii="Arial" w:hAnsi="Arial" w:cs="Arial"/>
          <w:sz w:val="20"/>
        </w:rPr>
      </w:pPr>
      <w:r w:rsidRPr="002A58D4">
        <w:rPr>
          <w:rFonts w:ascii="Arial" w:hAnsi="Arial" w:cs="Arial"/>
          <w:sz w:val="20"/>
        </w:rPr>
        <w:t>Der aktuelle PPP-Guide von CMS umfasst 158 Seiten und enthält für alle 21 Länder (ei</w:t>
      </w:r>
      <w:r w:rsidRPr="002A58D4">
        <w:rPr>
          <w:rFonts w:ascii="Arial" w:hAnsi="Arial" w:cs="Arial"/>
          <w:sz w:val="20"/>
        </w:rPr>
        <w:t>n</w:t>
      </w:r>
      <w:r w:rsidRPr="002A58D4">
        <w:rPr>
          <w:rFonts w:ascii="Arial" w:hAnsi="Arial" w:cs="Arial"/>
          <w:sz w:val="20"/>
        </w:rPr>
        <w:t>schließlich Österreich) ein eigenes Kapitel, das von den jeweiligen nationalen CMS-Experten verfasst wurde. Folgende Länder werden vom Guide abgedeckt: Österreich, Belgien, Bosnien Herzegowina, Bulg</w:t>
      </w:r>
      <w:r w:rsidRPr="002A58D4">
        <w:rPr>
          <w:rFonts w:ascii="Arial" w:hAnsi="Arial" w:cs="Arial"/>
          <w:sz w:val="20"/>
        </w:rPr>
        <w:t>a</w:t>
      </w:r>
      <w:r w:rsidRPr="002A58D4">
        <w:rPr>
          <w:rFonts w:ascii="Arial" w:hAnsi="Arial" w:cs="Arial"/>
          <w:sz w:val="20"/>
        </w:rPr>
        <w:t>rien, Kroatien, Tschechien, Frankreich, Deutschland, Ungarn, Italien, Niederlande, Polen, Rumän</w:t>
      </w:r>
      <w:r w:rsidRPr="002A58D4">
        <w:rPr>
          <w:rFonts w:ascii="Arial" w:hAnsi="Arial" w:cs="Arial"/>
          <w:sz w:val="20"/>
        </w:rPr>
        <w:t>i</w:t>
      </w:r>
      <w:r w:rsidRPr="002A58D4">
        <w:rPr>
          <w:rFonts w:ascii="Arial" w:hAnsi="Arial" w:cs="Arial"/>
          <w:sz w:val="20"/>
        </w:rPr>
        <w:t xml:space="preserve">en, Russland, Serbien, Slowakei, Slowenien, Spanien, Schweiz, Ukraine und Großbritannien. </w:t>
      </w:r>
    </w:p>
    <w:p w:rsidR="00C8763F" w:rsidRPr="00C743FB" w:rsidRDefault="00532680" w:rsidP="00532680">
      <w:pPr>
        <w:rPr>
          <w:rFonts w:ascii="Arial" w:hAnsi="Arial" w:cs="Arial"/>
          <w:noProof/>
          <w:sz w:val="20"/>
          <w:lang w:val="de-DE"/>
        </w:rPr>
      </w:pPr>
      <w:r>
        <w:rPr>
          <w:rFonts w:ascii="Arial" w:hAnsi="Arial" w:cs="Arial"/>
          <w:sz w:val="20"/>
        </w:rPr>
        <w:t>Weiter Infos finden Sie unter</w:t>
      </w:r>
      <w:r w:rsidRPr="002A58D4">
        <w:rPr>
          <w:rFonts w:ascii="Arial" w:hAnsi="Arial" w:cs="Arial"/>
          <w:sz w:val="20"/>
        </w:rPr>
        <w:t xml:space="preserve"> </w:t>
      </w:r>
      <w:hyperlink r:id="rId7" w:tgtFrame="_blank" w:history="1">
        <w:r w:rsidRPr="000E208F">
          <w:rPr>
            <w:rStyle w:val="Hyperlink"/>
            <w:rFonts w:ascii="Arial" w:hAnsi="Arial" w:cs="Arial"/>
            <w:sz w:val="20"/>
          </w:rPr>
          <w:t>http://www.cms-rrh.com/ppp</w:t>
        </w:r>
      </w:hyperlink>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8907E1"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lastRenderedPageBreak/>
        <w:t xml:space="preserve">Über </w:t>
      </w:r>
      <w:smartTag w:uri="urn:schemas-microsoft-com:office:smarttags" w:element="PersonName">
        <w:r>
          <w:rPr>
            <w:rStyle w:val="Fett"/>
            <w:rFonts w:ascii="Arial" w:hAnsi="Arial" w:cs="Arial"/>
            <w:sz w:val="16"/>
            <w:szCs w:val="16"/>
          </w:rPr>
          <w:t>CMS Reich-Rohrwig Hainz</w:t>
        </w:r>
      </w:smartTag>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8907E1" w:rsidRDefault="008907E1" w:rsidP="008907E1">
      <w:pPr>
        <w:ind w:right="-2"/>
        <w:rPr>
          <w:rFonts w:ascii="Arial" w:hAnsi="Arial" w:cs="Arial"/>
          <w:b/>
          <w:bCs/>
          <w:sz w:val="16"/>
          <w:szCs w:val="16"/>
        </w:rPr>
      </w:pPr>
      <w:r>
        <w:rPr>
          <w:rFonts w:ascii="Arial" w:hAnsi="Arial" w:cs="Arial"/>
          <w:b/>
          <w:bCs/>
          <w:sz w:val="16"/>
          <w:szCs w:val="16"/>
        </w:rPr>
        <w:t>Über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 xml:space="preserve">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2.200 Anwälten. </w:t>
      </w:r>
    </w:p>
    <w:p w:rsidR="008907E1" w:rsidRDefault="008907E1" w:rsidP="008907E1">
      <w:pPr>
        <w:ind w:right="-2"/>
      </w:pPr>
      <w:r>
        <w:rPr>
          <w:rFonts w:ascii="Arial" w:hAnsi="Arial" w:cs="Arial"/>
          <w:i/>
          <w:iCs/>
          <w:sz w:val="16"/>
          <w:szCs w:val="16"/>
        </w:rPr>
        <w:t> </w:t>
      </w:r>
    </w:p>
    <w:p w:rsidR="008907E1" w:rsidRDefault="008907E1" w:rsidP="008907E1">
      <w:pPr>
        <w:ind w:right="-2"/>
      </w:pPr>
      <w:r>
        <w:rPr>
          <w:rFonts w:ascii="Arial" w:hAnsi="Arial" w:cs="Arial"/>
          <w:sz w:val="16"/>
          <w:szCs w:val="16"/>
        </w:rPr>
        <w:t xml:space="preserve">Die neun CMS Kanzleien sind: CMS </w:t>
      </w:r>
      <w:proofErr w:type="spellStart"/>
      <w:r>
        <w:rPr>
          <w:rFonts w:ascii="Arial" w:hAnsi="Arial" w:cs="Arial"/>
          <w:sz w:val="16"/>
          <w:szCs w:val="16"/>
        </w:rPr>
        <w:t>Adonnino</w:t>
      </w:r>
      <w:proofErr w:type="spellEnd"/>
      <w:r>
        <w:rPr>
          <w:rFonts w:ascii="Arial" w:hAnsi="Arial" w:cs="Arial"/>
          <w:sz w:val="16"/>
          <w:szCs w:val="16"/>
        </w:rPr>
        <w:t xml:space="preserve"> </w:t>
      </w:r>
      <w:proofErr w:type="spellStart"/>
      <w:r>
        <w:rPr>
          <w:rFonts w:ascii="Arial" w:hAnsi="Arial" w:cs="Arial"/>
          <w:sz w:val="16"/>
          <w:szCs w:val="16"/>
        </w:rPr>
        <w:t>Ascoli</w:t>
      </w:r>
      <w:proofErr w:type="spellEnd"/>
      <w:r>
        <w:rPr>
          <w:rFonts w:ascii="Arial" w:hAnsi="Arial" w:cs="Arial"/>
          <w:sz w:val="16"/>
          <w:szCs w:val="16"/>
        </w:rPr>
        <w:t xml:space="preserve"> &amp; </w:t>
      </w:r>
      <w:proofErr w:type="spellStart"/>
      <w:r>
        <w:rPr>
          <w:rFonts w:ascii="Arial" w:hAnsi="Arial" w:cs="Arial"/>
          <w:sz w:val="16"/>
          <w:szCs w:val="16"/>
        </w:rPr>
        <w:t>Cavasola</w:t>
      </w:r>
      <w:proofErr w:type="spellEnd"/>
      <w:r>
        <w:rPr>
          <w:rFonts w:ascii="Arial" w:hAnsi="Arial" w:cs="Arial"/>
          <w:sz w:val="16"/>
          <w:szCs w:val="16"/>
        </w:rPr>
        <w:t xml:space="preserve"> </w:t>
      </w:r>
      <w:proofErr w:type="spellStart"/>
      <w:r>
        <w:rPr>
          <w:rFonts w:ascii="Arial" w:hAnsi="Arial" w:cs="Arial"/>
          <w:sz w:val="16"/>
          <w:szCs w:val="16"/>
        </w:rPr>
        <w:t>Scamoni</w:t>
      </w:r>
      <w:proofErr w:type="spellEnd"/>
      <w:r>
        <w:rPr>
          <w:rFonts w:ascii="Arial" w:hAnsi="Arial" w:cs="Arial"/>
          <w:sz w:val="16"/>
          <w:szCs w:val="16"/>
        </w:rPr>
        <w:t xml:space="preserve"> (Italien); CMS </w:t>
      </w:r>
      <w:proofErr w:type="spellStart"/>
      <w:r>
        <w:rPr>
          <w:rFonts w:ascii="Arial" w:hAnsi="Arial" w:cs="Arial"/>
          <w:sz w:val="16"/>
          <w:szCs w:val="16"/>
        </w:rPr>
        <w:t>Albiñana</w:t>
      </w:r>
      <w:proofErr w:type="spellEnd"/>
      <w:r>
        <w:rPr>
          <w:rFonts w:ascii="Arial" w:hAnsi="Arial" w:cs="Arial"/>
          <w:sz w:val="16"/>
          <w:szCs w:val="16"/>
        </w:rPr>
        <w:t xml:space="preserve"> &amp; Suárez de </w:t>
      </w:r>
      <w:proofErr w:type="spellStart"/>
      <w:r>
        <w:rPr>
          <w:rFonts w:ascii="Arial" w:hAnsi="Arial" w:cs="Arial"/>
          <w:sz w:val="16"/>
          <w:szCs w:val="16"/>
        </w:rPr>
        <w:t>Lezo</w:t>
      </w:r>
      <w:proofErr w:type="spellEnd"/>
      <w:r>
        <w:rPr>
          <w:rFonts w:ascii="Arial" w:hAnsi="Arial" w:cs="Arial"/>
          <w:sz w:val="16"/>
          <w:szCs w:val="16"/>
        </w:rPr>
        <w:t xml:space="preserve"> (Spanien); CMS </w:t>
      </w:r>
      <w:proofErr w:type="spellStart"/>
      <w:r>
        <w:rPr>
          <w:rFonts w:ascii="Arial" w:hAnsi="Arial" w:cs="Arial"/>
          <w:sz w:val="16"/>
          <w:szCs w:val="16"/>
        </w:rPr>
        <w:t>Bureau</w:t>
      </w:r>
      <w:proofErr w:type="spellEnd"/>
      <w:r>
        <w:rPr>
          <w:rFonts w:ascii="Arial" w:hAnsi="Arial" w:cs="Arial"/>
          <w:sz w:val="16"/>
          <w:szCs w:val="16"/>
        </w:rPr>
        <w:t xml:space="preserve"> Francis Lefebvre (Frankreich); CMS Cameron McKenna LLP (Vereinigtes Königreich); CMS </w:t>
      </w:r>
      <w:proofErr w:type="spellStart"/>
      <w:r>
        <w:rPr>
          <w:rFonts w:ascii="Arial" w:hAnsi="Arial" w:cs="Arial"/>
          <w:sz w:val="16"/>
          <w:szCs w:val="16"/>
        </w:rPr>
        <w:t>DeBacker</w:t>
      </w:r>
      <w:proofErr w:type="spellEnd"/>
      <w:r>
        <w:rPr>
          <w:rFonts w:ascii="Arial" w:hAnsi="Arial" w:cs="Arial"/>
          <w:sz w:val="16"/>
          <w:szCs w:val="16"/>
        </w:rPr>
        <w:t xml:space="preserve"> (Belgien); CMS Derks Star </w:t>
      </w:r>
      <w:proofErr w:type="spellStart"/>
      <w:r>
        <w:rPr>
          <w:rFonts w:ascii="Arial" w:hAnsi="Arial" w:cs="Arial"/>
          <w:sz w:val="16"/>
          <w:szCs w:val="16"/>
        </w:rPr>
        <w:t>Busmann</w:t>
      </w:r>
      <w:proofErr w:type="spellEnd"/>
      <w:r>
        <w:rPr>
          <w:rFonts w:ascii="Arial" w:hAnsi="Arial" w:cs="Arial"/>
          <w:sz w:val="16"/>
          <w:szCs w:val="16"/>
        </w:rPr>
        <w:t xml:space="preserve"> (Niederlande); CMS von </w:t>
      </w:r>
      <w:proofErr w:type="spellStart"/>
      <w:r>
        <w:rPr>
          <w:rFonts w:ascii="Arial" w:hAnsi="Arial" w:cs="Arial"/>
          <w:sz w:val="16"/>
          <w:szCs w:val="16"/>
        </w:rPr>
        <w:t>Erlach</w:t>
      </w:r>
      <w:proofErr w:type="spellEnd"/>
      <w:r>
        <w:rPr>
          <w:rFonts w:ascii="Arial" w:hAnsi="Arial" w:cs="Arial"/>
          <w:sz w:val="16"/>
          <w:szCs w:val="16"/>
        </w:rPr>
        <w:t xml:space="preserve"> </w:t>
      </w:r>
      <w:proofErr w:type="spellStart"/>
      <w:r>
        <w:rPr>
          <w:rFonts w:ascii="Arial" w:hAnsi="Arial" w:cs="Arial"/>
          <w:sz w:val="16"/>
          <w:szCs w:val="16"/>
        </w:rPr>
        <w:t>Henrici</w:t>
      </w:r>
      <w:proofErr w:type="spellEnd"/>
      <w:r>
        <w:rPr>
          <w:rFonts w:ascii="Arial" w:hAnsi="Arial" w:cs="Arial"/>
          <w:sz w:val="16"/>
          <w:szCs w:val="16"/>
        </w:rPr>
        <w:t xml:space="preserve"> Ltd. (Schweiz); CMS Hasche Sigle (Deutschland) und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(Österreich). </w:t>
      </w:r>
      <w:hyperlink r:id="rId10" w:tooltip="http://www.cmslegal.com/" w:history="1">
        <w:r>
          <w:rPr>
            <w:rStyle w:val="Hyperlink"/>
            <w:rFonts w:ascii="Arial" w:hAnsi="Arial" w:cs="Arial"/>
            <w:sz w:val="16"/>
            <w:szCs w:val="16"/>
          </w:rPr>
          <w:t>www.cmslegal.com</w:t>
        </w:r>
      </w:hyperlink>
      <w:r>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1"/>
      <w:headerReference w:type="first" r:id="rId12"/>
      <w:footerReference w:type="first" r:id="rId13"/>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28" w:rsidRDefault="00F07F28">
      <w:r>
        <w:separator/>
      </w:r>
    </w:p>
  </w:endnote>
  <w:endnote w:type="continuationSeparator" w:id="0">
    <w:p w:rsidR="00F07F28" w:rsidRDefault="00F0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96" w:rsidRPr="00493096" w:rsidRDefault="00493096"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sidR="006A6BED">
      <w:rPr>
        <w:rStyle w:val="Third"/>
        <w:rFonts w:ascii="Arial Narrow" w:hAnsi="Arial Narrow"/>
        <w:b/>
        <w:bCs/>
        <w:lang w:val="nl-BE"/>
      </w:rPr>
      <w:t xml:space="preserve">Kyiv, </w:t>
    </w:r>
    <w:r w:rsidR="00CA1FA5">
      <w:rPr>
        <w:rStyle w:val="Third"/>
        <w:rFonts w:ascii="Arial Narrow" w:hAnsi="Arial Narrow"/>
        <w:b/>
        <w:bCs/>
        <w:lang w:val="nl-BE"/>
      </w:rPr>
      <w:t xml:space="preserve">Ljubljana, Sarajevo, </w:t>
    </w:r>
    <w:r w:rsidRPr="00493096">
      <w:rPr>
        <w:rStyle w:val="Third"/>
        <w:rFonts w:ascii="Arial Narrow" w:hAnsi="Arial Narrow"/>
        <w:b/>
        <w:bCs/>
        <w:lang w:val="nl-BE"/>
      </w:rPr>
      <w:t>Sofia, Zagreb</w:t>
    </w:r>
  </w:p>
  <w:p w:rsidR="00493096" w:rsidRPr="00493096" w:rsidRDefault="00493096"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E03151" w:rsidRPr="00FC7E04" w:rsidRDefault="00493096"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sidR="00A44F8F">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00762601"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28" w:rsidRDefault="00F07F28">
      <w:r>
        <w:separator/>
      </w:r>
    </w:p>
  </w:footnote>
  <w:footnote w:type="continuationSeparator" w:id="0">
    <w:p w:rsidR="00F07F28" w:rsidRDefault="00F0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51" w:rsidRDefault="003E7838">
    <w:pPr>
      <w:pStyle w:val="Kopfzeile"/>
      <w:tabs>
        <w:tab w:val="clear" w:pos="4536"/>
        <w:tab w:val="clear" w:pos="9072"/>
        <w:tab w:val="center" w:pos="4678"/>
        <w:tab w:val="right" w:pos="9356"/>
      </w:tabs>
      <w:rPr>
        <w:rStyle w:val="Seitenzahl"/>
        <w:sz w:val="22"/>
      </w:rPr>
    </w:pPr>
    <w:r>
      <w:rPr>
        <w:rStyle w:val="Seitenzahl"/>
        <w:sz w:val="22"/>
      </w:rPr>
      <w:tab/>
    </w:r>
    <w:r w:rsidR="00CC088B">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sidR="00E03151">
      <w:rPr>
        <w:rStyle w:val="Seitenzahl"/>
        <w:sz w:val="22"/>
      </w:rPr>
      <w:fldChar w:fldCharType="begin"/>
    </w:r>
    <w:r w:rsidR="00E03151">
      <w:rPr>
        <w:rStyle w:val="Seitenzahl"/>
        <w:sz w:val="22"/>
      </w:rPr>
      <w:instrText xml:space="preserve"> PAGE </w:instrText>
    </w:r>
    <w:r w:rsidR="00E03151">
      <w:rPr>
        <w:rStyle w:val="Seitenzahl"/>
        <w:sz w:val="22"/>
      </w:rPr>
      <w:fldChar w:fldCharType="separate"/>
    </w:r>
    <w:r w:rsidR="008E1952">
      <w:rPr>
        <w:rStyle w:val="Seitenzahl"/>
        <w:noProof/>
        <w:sz w:val="22"/>
      </w:rPr>
      <w:t>2</w:t>
    </w:r>
    <w:r w:rsidR="00E03151">
      <w:rPr>
        <w:rStyle w:val="Seitenzahl"/>
        <w:sz w:val="22"/>
      </w:rPr>
      <w:fldChar w:fldCharType="end"/>
    </w:r>
  </w:p>
  <w:p w:rsidR="00D8203B" w:rsidRDefault="00D8203B">
    <w:pPr>
      <w:pStyle w:val="Kopfzeile"/>
      <w:tabs>
        <w:tab w:val="clear" w:pos="4536"/>
        <w:tab w:val="clear" w:pos="9072"/>
        <w:tab w:val="center" w:pos="4678"/>
        <w:tab w:val="right" w:pos="9356"/>
      </w:tabs>
      <w:rPr>
        <w:rStyle w:val="Seitenzahl"/>
        <w:sz w:val="22"/>
      </w:rPr>
    </w:pPr>
  </w:p>
  <w:p w:rsidR="00D8203B" w:rsidRDefault="00D8203B">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C6" w:rsidRPr="005E7F5F" w:rsidRDefault="00CC088B">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28"/>
    <w:rsid w:val="00015F2D"/>
    <w:rsid w:val="00023B59"/>
    <w:rsid w:val="0004226C"/>
    <w:rsid w:val="00045898"/>
    <w:rsid w:val="00050F4D"/>
    <w:rsid w:val="000515F8"/>
    <w:rsid w:val="0006414F"/>
    <w:rsid w:val="00073B99"/>
    <w:rsid w:val="00091005"/>
    <w:rsid w:val="000A5136"/>
    <w:rsid w:val="000C7256"/>
    <w:rsid w:val="000D1005"/>
    <w:rsid w:val="000D100D"/>
    <w:rsid w:val="000E208F"/>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C0088"/>
    <w:rsid w:val="003C7A70"/>
    <w:rsid w:val="003C7CAE"/>
    <w:rsid w:val="003D5025"/>
    <w:rsid w:val="003E2442"/>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2680"/>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195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07F28"/>
    <w:rsid w:val="00F1414F"/>
    <w:rsid w:val="00F21953"/>
    <w:rsid w:val="00F34284"/>
    <w:rsid w:val="00F521B1"/>
    <w:rsid w:val="00F7013D"/>
    <w:rsid w:val="00F84D18"/>
    <w:rsid w:val="00F9025C"/>
    <w:rsid w:val="00F948C4"/>
    <w:rsid w:val="00F95057"/>
    <w:rsid w:val="00FA1478"/>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cmslegal.at/OWA/redir.aspx?C=82adf1d78259494eb751c4b5977faa71&amp;URL=http%3a%2f%2fwww.cms-rrh.com%2fppp"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slegal.com/" TargetMode="External"/><Relationship Id="rId4" Type="http://schemas.openxmlformats.org/officeDocument/2006/relationships/webSettings" Target="webSettings.xml"/><Relationship Id="rId9" Type="http://schemas.openxmlformats.org/officeDocument/2006/relationships/hyperlink" Target="http://www.cms-rr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590</Words>
  <Characters>4392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4973</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2010-09-10T07:46:00Z</dcterms:created>
  <dcterms:modified xsi:type="dcterms:W3CDTF">2010-09-10T08:00:00Z</dcterms:modified>
</cp:coreProperties>
</file>