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C8763F" w:rsidRPr="001809DD" w:rsidRDefault="001809DD" w:rsidP="0010188B">
      <w:pPr>
        <w:rPr>
          <w:rFonts w:ascii="Arial" w:hAnsi="Arial" w:cs="Arial"/>
          <w:noProof/>
          <w:sz w:val="20"/>
          <w:lang w:val="en-US"/>
        </w:rPr>
      </w:pPr>
      <w:r w:rsidRPr="001809DD">
        <w:rPr>
          <w:rFonts w:ascii="Arial" w:hAnsi="Arial" w:cs="Arial"/>
          <w:noProof/>
          <w:sz w:val="20"/>
          <w:lang w:val="en-US"/>
        </w:rPr>
        <w:t>Vienna</w:t>
      </w:r>
      <w:r w:rsidR="0010188B" w:rsidRPr="001809DD">
        <w:rPr>
          <w:rFonts w:ascii="Arial" w:hAnsi="Arial" w:cs="Arial"/>
          <w:noProof/>
          <w:sz w:val="20"/>
          <w:lang w:val="en-US"/>
        </w:rPr>
        <w:t xml:space="preserve">, </w:t>
      </w:r>
    </w:p>
    <w:p w:rsidR="00C8763F" w:rsidRPr="001809DD" w:rsidRDefault="00C8763F" w:rsidP="00C8763F">
      <w:pPr>
        <w:rPr>
          <w:rFonts w:ascii="Arial" w:hAnsi="Arial" w:cs="Arial"/>
          <w:noProof/>
          <w:sz w:val="20"/>
          <w:lang w:val="en-US"/>
        </w:rPr>
      </w:pPr>
    </w:p>
    <w:p w:rsidR="00225C30" w:rsidRPr="00225C30" w:rsidRDefault="00225C30" w:rsidP="00225C30">
      <w:pPr>
        <w:rPr>
          <w:rFonts w:ascii="Arial" w:hAnsi="Arial" w:cs="Arial"/>
          <w:b/>
          <w:bCs/>
          <w:sz w:val="20"/>
          <w:szCs w:val="22"/>
          <w:lang w:val="en-GB"/>
        </w:rPr>
      </w:pPr>
      <w:r w:rsidRPr="00225C30">
        <w:rPr>
          <w:rFonts w:ascii="Arial" w:hAnsi="Arial" w:cs="Arial"/>
          <w:b/>
          <w:bCs/>
          <w:noProof/>
          <w:sz w:val="20"/>
          <w:szCs w:val="22"/>
          <w:lang w:val="en-GB"/>
        </w:rPr>
        <w:t>CMS pan-European study into “green” lease clauses</w:t>
      </w:r>
    </w:p>
    <w:p w:rsidR="00225C30" w:rsidRPr="00225C30" w:rsidRDefault="00225C30" w:rsidP="00225C30">
      <w:pPr>
        <w:pStyle w:val="Kopfzeile"/>
        <w:tabs>
          <w:tab w:val="left" w:pos="1080"/>
        </w:tabs>
        <w:rPr>
          <w:rFonts w:ascii="Arial" w:hAnsi="Arial" w:cs="Arial"/>
          <w:b/>
          <w:bCs/>
          <w:sz w:val="20"/>
          <w:szCs w:val="22"/>
          <w:lang w:val="en-GB"/>
        </w:rPr>
      </w:pPr>
    </w:p>
    <w:p w:rsidR="00225C30" w:rsidRPr="00225C30" w:rsidRDefault="00225C30" w:rsidP="00225C30">
      <w:pPr>
        <w:rPr>
          <w:rFonts w:ascii="Arial" w:hAnsi="Arial" w:cs="Arial"/>
          <w:b/>
          <w:bCs/>
          <w:sz w:val="20"/>
          <w:szCs w:val="22"/>
          <w:lang w:val="en-GB"/>
        </w:rPr>
      </w:pPr>
      <w:r w:rsidRPr="00225C30">
        <w:rPr>
          <w:rFonts w:ascii="Arial" w:hAnsi="Arial" w:cs="Arial"/>
          <w:b/>
          <w:bCs/>
          <w:noProof/>
          <w:sz w:val="20"/>
          <w:szCs w:val="22"/>
          <w:lang w:val="en-GB"/>
        </w:rPr>
        <w:t>Leading European legal and tax services provider CMS today launches the CMS e-guide:</w:t>
      </w:r>
      <w:r w:rsidRPr="00225C30">
        <w:rPr>
          <w:rFonts w:ascii="Arial" w:hAnsi="Arial" w:cs="Arial"/>
          <w:b/>
          <w:bCs/>
          <w:sz w:val="20"/>
          <w:szCs w:val="22"/>
          <w:lang w:val="en-GB"/>
        </w:rPr>
        <w:t xml:space="preserve"> </w:t>
      </w:r>
      <w:r w:rsidRPr="00225C30">
        <w:rPr>
          <w:rFonts w:ascii="Arial" w:hAnsi="Arial" w:cs="Arial"/>
          <w:b/>
          <w:bCs/>
          <w:noProof/>
          <w:sz w:val="20"/>
          <w:szCs w:val="22"/>
          <w:lang w:val="en-GB"/>
        </w:rPr>
        <w:t>Study on the use of Green Lease Clauses in Europe, the first pan-European study into the existing regulations and market practices around “green” clauses in leases.</w:t>
      </w:r>
      <w:r w:rsidRPr="00225C30">
        <w:rPr>
          <w:rFonts w:ascii="Arial" w:hAnsi="Arial" w:cs="Arial"/>
          <w:b/>
          <w:bCs/>
          <w:sz w:val="20"/>
          <w:szCs w:val="22"/>
          <w:lang w:val="en-GB"/>
        </w:rPr>
        <w:t xml:space="preserve"> </w:t>
      </w:r>
      <w:r w:rsidRPr="00225C30">
        <w:rPr>
          <w:rFonts w:ascii="Arial" w:hAnsi="Arial" w:cs="Arial"/>
          <w:b/>
          <w:bCs/>
          <w:noProof/>
          <w:sz w:val="20"/>
          <w:szCs w:val="22"/>
          <w:lang w:val="en-GB"/>
        </w:rPr>
        <w:t>Combining information from 21 European countries, the Study is an invaluable tool for comparing current regulations and practices between jurisdictions.</w:t>
      </w:r>
      <w:r w:rsidRPr="00225C30">
        <w:rPr>
          <w:rFonts w:ascii="Arial" w:hAnsi="Arial" w:cs="Arial"/>
          <w:b/>
          <w:bCs/>
          <w:sz w:val="20"/>
          <w:szCs w:val="22"/>
          <w:lang w:val="en-GB"/>
        </w:rPr>
        <w:t xml:space="preserve"> </w:t>
      </w:r>
      <w:r w:rsidRPr="00225C30">
        <w:rPr>
          <w:rFonts w:ascii="Arial" w:hAnsi="Arial" w:cs="Arial"/>
          <w:b/>
          <w:bCs/>
          <w:noProof/>
          <w:sz w:val="20"/>
          <w:szCs w:val="22"/>
          <w:lang w:val="en-GB"/>
        </w:rPr>
        <w:t>The Study also includes recommendations on how to draft green leases.</w:t>
      </w:r>
      <w:r w:rsidRPr="00225C30">
        <w:rPr>
          <w:rFonts w:ascii="Arial" w:hAnsi="Arial" w:cs="Arial"/>
          <w:sz w:val="20"/>
          <w:szCs w:val="22"/>
          <w:lang w:val="en-GB"/>
        </w:rPr>
        <w:t xml:space="preserve"> </w:t>
      </w:r>
      <w:r w:rsidRPr="00225C30">
        <w:rPr>
          <w:rFonts w:ascii="Arial" w:hAnsi="Arial" w:cs="Arial"/>
          <w:b/>
          <w:bCs/>
          <w:noProof/>
          <w:sz w:val="20"/>
          <w:szCs w:val="22"/>
          <w:lang w:val="en-GB"/>
        </w:rPr>
        <w:t>The CMS e-guide:</w:t>
      </w:r>
      <w:r w:rsidRPr="00225C30">
        <w:rPr>
          <w:rFonts w:ascii="Arial" w:hAnsi="Arial" w:cs="Arial"/>
          <w:b/>
          <w:bCs/>
          <w:sz w:val="20"/>
          <w:szCs w:val="22"/>
          <w:lang w:val="en-GB"/>
        </w:rPr>
        <w:t xml:space="preserve"> </w:t>
      </w:r>
      <w:r w:rsidRPr="00225C30">
        <w:rPr>
          <w:rFonts w:ascii="Arial" w:hAnsi="Arial" w:cs="Arial"/>
          <w:b/>
          <w:bCs/>
          <w:noProof/>
          <w:sz w:val="20"/>
          <w:szCs w:val="22"/>
          <w:lang w:val="en-GB"/>
        </w:rPr>
        <w:t>Study on the use of Green Lease Clauses in Europe is only available as an online document, which can be downloaded at:</w:t>
      </w:r>
      <w:r w:rsidRPr="00225C30">
        <w:rPr>
          <w:rFonts w:ascii="Arial" w:hAnsi="Arial" w:cs="Arial"/>
          <w:b/>
          <w:bCs/>
          <w:sz w:val="20"/>
          <w:szCs w:val="22"/>
          <w:lang w:val="en-GB"/>
        </w:rPr>
        <w:t xml:space="preserve"> </w:t>
      </w:r>
      <w:hyperlink r:id="rId8" w:history="1">
        <w:r w:rsidRPr="00225C30">
          <w:rPr>
            <w:rStyle w:val="Hyperlink"/>
            <w:rFonts w:ascii="Arial" w:hAnsi="Arial" w:cs="Arial"/>
            <w:b/>
            <w:bCs/>
            <w:sz w:val="20"/>
            <w:szCs w:val="22"/>
            <w:lang w:val="en-GB"/>
          </w:rPr>
          <w:t>http://eguides.cmslegal.com/greenleases/index.aspx</w:t>
        </w:r>
      </w:hyperlink>
      <w:r w:rsidRPr="00225C30">
        <w:rPr>
          <w:rFonts w:ascii="Arial" w:hAnsi="Arial" w:cs="Arial"/>
          <w:b/>
          <w:bCs/>
          <w:sz w:val="20"/>
          <w:szCs w:val="22"/>
          <w:lang w:val="en-GB"/>
        </w:rPr>
        <w:t>.</w:t>
      </w:r>
    </w:p>
    <w:p w:rsidR="00225C30" w:rsidRPr="00225C30" w:rsidRDefault="00225C30" w:rsidP="00225C30">
      <w:pPr>
        <w:rPr>
          <w:rFonts w:ascii="Arial" w:hAnsi="Arial" w:cs="Arial"/>
          <w:b/>
          <w:bCs/>
          <w:sz w:val="20"/>
          <w:szCs w:val="22"/>
          <w:lang w:val="en-GB"/>
        </w:rPr>
      </w:pPr>
    </w:p>
    <w:p w:rsidR="00225C30" w:rsidRPr="00225C30" w:rsidRDefault="00225C30" w:rsidP="00225C30">
      <w:pPr>
        <w:pStyle w:val="Kopfzeile"/>
        <w:tabs>
          <w:tab w:val="left" w:pos="1080"/>
        </w:tabs>
        <w:rPr>
          <w:rFonts w:ascii="Arial" w:hAnsi="Arial" w:cs="Arial"/>
          <w:b/>
          <w:bCs/>
          <w:sz w:val="20"/>
          <w:szCs w:val="22"/>
          <w:lang w:val="en-GB"/>
        </w:rPr>
      </w:pPr>
    </w:p>
    <w:p w:rsidR="00225C30" w:rsidRPr="00225C30" w:rsidRDefault="00225C30" w:rsidP="00225C30">
      <w:pPr>
        <w:pStyle w:val="Kopfzeile"/>
        <w:tabs>
          <w:tab w:val="left" w:pos="1080"/>
        </w:tabs>
        <w:rPr>
          <w:rFonts w:ascii="Arial" w:hAnsi="Arial" w:cs="Arial"/>
          <w:sz w:val="20"/>
          <w:szCs w:val="22"/>
          <w:lang w:val="en-GB"/>
        </w:rPr>
      </w:pPr>
      <w:r w:rsidRPr="00225C30">
        <w:rPr>
          <w:rFonts w:ascii="Arial" w:hAnsi="Arial" w:cs="Arial"/>
          <w:noProof/>
          <w:sz w:val="20"/>
          <w:szCs w:val="22"/>
          <w:lang w:val="en-GB"/>
        </w:rPr>
        <w:t>For the Study, CMS Real Estate experts reviewed the legal framework and market practice in Austria, Belgium, Bosnia and Herzegovina, Bulgaria, Croatia, the Czech Republic, France, Germany, Hungary, Italy, The Netherlands, Poland, Romania, Russia, Serbia, Slovakia, Slovenia, Spain, Switzerland, Ukraine and the United Kingdom (including England &amp; Wales, Northern Ireland and Scotland).</w:t>
      </w:r>
    </w:p>
    <w:p w:rsidR="00225C30" w:rsidRPr="00225C30" w:rsidRDefault="00225C30" w:rsidP="00225C30">
      <w:pPr>
        <w:pStyle w:val="Kopfzeile"/>
        <w:tabs>
          <w:tab w:val="left" w:pos="1080"/>
        </w:tabs>
        <w:rPr>
          <w:rFonts w:ascii="Arial" w:hAnsi="Arial" w:cs="Arial"/>
          <w:b/>
          <w:bCs/>
          <w:sz w:val="20"/>
          <w:szCs w:val="22"/>
          <w:lang w:val="en-GB"/>
        </w:rPr>
      </w:pPr>
    </w:p>
    <w:p w:rsidR="00225C30" w:rsidRPr="00225C30" w:rsidRDefault="00225C30" w:rsidP="00225C30">
      <w:pPr>
        <w:pStyle w:val="Kopfzeile"/>
        <w:tabs>
          <w:tab w:val="left" w:pos="1080"/>
        </w:tabs>
        <w:rPr>
          <w:rFonts w:ascii="Arial" w:hAnsi="Arial" w:cs="Arial"/>
          <w:sz w:val="20"/>
          <w:szCs w:val="22"/>
          <w:lang w:val="en-GB"/>
        </w:rPr>
      </w:pPr>
      <w:r w:rsidRPr="00225C30">
        <w:rPr>
          <w:rFonts w:ascii="Arial" w:hAnsi="Arial" w:cs="Arial"/>
          <w:sz w:val="20"/>
          <w:szCs w:val="22"/>
          <w:lang w:val="en-GB"/>
        </w:rPr>
        <w:t>In Austria, partner Nikolaus Weselik, senior attorney Stefanie Werinos and assoc</w:t>
      </w:r>
      <w:r w:rsidRPr="00225C30">
        <w:rPr>
          <w:rFonts w:ascii="Arial" w:hAnsi="Arial" w:cs="Arial"/>
          <w:sz w:val="20"/>
          <w:szCs w:val="22"/>
          <w:lang w:val="en-GB"/>
        </w:rPr>
        <w:t>i</w:t>
      </w:r>
      <w:r w:rsidRPr="00225C30">
        <w:rPr>
          <w:rFonts w:ascii="Arial" w:hAnsi="Arial" w:cs="Arial"/>
          <w:sz w:val="20"/>
          <w:szCs w:val="22"/>
          <w:lang w:val="en-GB"/>
        </w:rPr>
        <w:t xml:space="preserve">ate Martin </w:t>
      </w:r>
      <w:proofErr w:type="spellStart"/>
      <w:r w:rsidRPr="00225C30">
        <w:rPr>
          <w:rFonts w:ascii="Arial" w:hAnsi="Arial" w:cs="Arial"/>
          <w:sz w:val="20"/>
          <w:szCs w:val="22"/>
          <w:lang w:val="en-GB"/>
        </w:rPr>
        <w:t>Trapichler</w:t>
      </w:r>
      <w:proofErr w:type="spellEnd"/>
      <w:r w:rsidRPr="00225C30">
        <w:rPr>
          <w:rFonts w:ascii="Arial" w:hAnsi="Arial" w:cs="Arial"/>
          <w:sz w:val="20"/>
          <w:szCs w:val="22"/>
          <w:lang w:val="en-GB"/>
        </w:rPr>
        <w:t xml:space="preserve"> of law firm CMS Reich-Rohrwig Hainz considerably contributed to the study. </w:t>
      </w:r>
      <w:r w:rsidRPr="00225C30">
        <w:rPr>
          <w:rFonts w:ascii="Arial" w:hAnsi="Arial" w:cs="Arial"/>
          <w:noProof/>
          <w:sz w:val="20"/>
          <w:szCs w:val="22"/>
          <w:lang w:val="en-GB"/>
        </w:rPr>
        <w:t>„With so much focus on green buildings, we wanted to find out what was being done across Europe, identifying best practice.</w:t>
      </w:r>
      <w:r w:rsidRPr="00225C30">
        <w:rPr>
          <w:rFonts w:ascii="Arial" w:hAnsi="Arial" w:cs="Arial"/>
          <w:sz w:val="20"/>
          <w:szCs w:val="22"/>
          <w:lang w:val="en-GB"/>
        </w:rPr>
        <w:t xml:space="preserve"> </w:t>
      </w:r>
      <w:r w:rsidRPr="00225C30">
        <w:rPr>
          <w:rFonts w:ascii="Arial" w:hAnsi="Arial" w:cs="Arial"/>
          <w:noProof/>
          <w:sz w:val="20"/>
          <w:szCs w:val="22"/>
          <w:lang w:val="en-GB"/>
        </w:rPr>
        <w:t>The information provides investors, asset managers and users with precise information to ensure that buildings stay green throughout their lifeti</w:t>
      </w:r>
      <w:bookmarkStart w:id="0" w:name="_GoBack"/>
      <w:bookmarkEnd w:id="0"/>
      <w:r w:rsidRPr="00225C30">
        <w:rPr>
          <w:rFonts w:ascii="Arial" w:hAnsi="Arial" w:cs="Arial"/>
          <w:noProof/>
          <w:sz w:val="20"/>
          <w:szCs w:val="22"/>
          <w:lang w:val="en-GB"/>
        </w:rPr>
        <w:t>me.”, explains Real Estate Expert Nikolaus Weselik.</w:t>
      </w:r>
    </w:p>
    <w:p w:rsidR="00225C30" w:rsidRPr="00225C30" w:rsidRDefault="00225C30" w:rsidP="00225C30">
      <w:pPr>
        <w:rPr>
          <w:rFonts w:ascii="Arial" w:hAnsi="Arial" w:cs="Arial"/>
          <w:sz w:val="20"/>
          <w:szCs w:val="22"/>
          <w:lang w:val="en-GB"/>
        </w:rPr>
      </w:pPr>
    </w:p>
    <w:p w:rsidR="00225C30" w:rsidRPr="00225C30" w:rsidRDefault="00225C30" w:rsidP="00225C30">
      <w:pPr>
        <w:pStyle w:val="Kopfzeile"/>
        <w:tabs>
          <w:tab w:val="left" w:pos="1080"/>
        </w:tabs>
        <w:rPr>
          <w:rFonts w:ascii="Arial" w:hAnsi="Arial" w:cs="Arial"/>
          <w:sz w:val="20"/>
          <w:szCs w:val="22"/>
          <w:lang w:val="en-GB"/>
        </w:rPr>
      </w:pPr>
      <w:r w:rsidRPr="00225C30">
        <w:rPr>
          <w:rFonts w:ascii="Arial" w:hAnsi="Arial" w:cs="Arial"/>
          <w:noProof/>
          <w:sz w:val="20"/>
          <w:szCs w:val="22"/>
          <w:lang w:val="en-GB"/>
        </w:rPr>
        <w:t>The study shows an increasing use of “green” clauses amid a patchwork of regulations and market practice.</w:t>
      </w:r>
      <w:r w:rsidRPr="00225C30">
        <w:rPr>
          <w:rFonts w:ascii="Arial" w:hAnsi="Arial" w:cs="Arial"/>
          <w:sz w:val="20"/>
          <w:szCs w:val="22"/>
          <w:lang w:val="en-GB"/>
        </w:rPr>
        <w:t xml:space="preserve"> “This shouldn’t be surprising,” says environmental law expert Stefanie Werinos, “environmentally friendly and sustainable buildings are only starting to become the norm across Europe in a push to r</w:t>
      </w:r>
      <w:r w:rsidRPr="00225C30">
        <w:rPr>
          <w:rFonts w:ascii="Arial" w:hAnsi="Arial" w:cs="Arial"/>
          <w:sz w:val="20"/>
          <w:szCs w:val="22"/>
          <w:lang w:val="en-GB"/>
        </w:rPr>
        <w:t>e</w:t>
      </w:r>
      <w:r w:rsidRPr="00225C30">
        <w:rPr>
          <w:rFonts w:ascii="Arial" w:hAnsi="Arial" w:cs="Arial"/>
          <w:sz w:val="20"/>
          <w:szCs w:val="22"/>
          <w:lang w:val="en-GB"/>
        </w:rPr>
        <w:t xml:space="preserve">duce emissions and energy consumption in a region fully committed to the Kyoto Protocol. </w:t>
      </w:r>
      <w:r w:rsidRPr="00225C30">
        <w:rPr>
          <w:rFonts w:ascii="Arial" w:hAnsi="Arial" w:cs="Arial"/>
          <w:noProof/>
          <w:sz w:val="20"/>
          <w:szCs w:val="22"/>
          <w:lang w:val="en-GB"/>
        </w:rPr>
        <w:t>So ensuring buildings stay green during their entire lifetime is essential to future-proof investments.”</w:t>
      </w:r>
    </w:p>
    <w:p w:rsidR="00225C30" w:rsidRPr="00225C30" w:rsidRDefault="00225C30" w:rsidP="00225C30">
      <w:pPr>
        <w:pStyle w:val="Kopfzeile"/>
        <w:tabs>
          <w:tab w:val="left" w:pos="1080"/>
        </w:tabs>
        <w:rPr>
          <w:rFonts w:ascii="Arial" w:hAnsi="Arial" w:cs="Arial"/>
          <w:sz w:val="20"/>
          <w:szCs w:val="22"/>
          <w:lang w:val="en-GB"/>
        </w:rPr>
      </w:pPr>
    </w:p>
    <w:p w:rsidR="00225C30" w:rsidRPr="00225C30" w:rsidRDefault="00225C30" w:rsidP="00225C30">
      <w:pPr>
        <w:pStyle w:val="Kopfzeile"/>
        <w:tabs>
          <w:tab w:val="left" w:pos="1080"/>
        </w:tabs>
        <w:rPr>
          <w:rFonts w:ascii="Arial" w:hAnsi="Arial" w:cs="Arial"/>
          <w:b/>
          <w:bCs/>
          <w:sz w:val="20"/>
          <w:szCs w:val="22"/>
          <w:lang w:val="en-GB"/>
        </w:rPr>
      </w:pPr>
      <w:r w:rsidRPr="00225C30">
        <w:rPr>
          <w:rFonts w:ascii="Arial" w:hAnsi="Arial" w:cs="Arial"/>
          <w:b/>
          <w:bCs/>
          <w:sz w:val="20"/>
          <w:szCs w:val="22"/>
          <w:lang w:val="en-GB"/>
        </w:rPr>
        <w:t>National Harmonisation of Energy Certification Needed</w:t>
      </w:r>
    </w:p>
    <w:p w:rsidR="00225C30" w:rsidRPr="00225C30" w:rsidRDefault="00225C30" w:rsidP="00225C30">
      <w:pPr>
        <w:pStyle w:val="Kopfzeile"/>
        <w:tabs>
          <w:tab w:val="left" w:pos="1080"/>
        </w:tabs>
        <w:rPr>
          <w:rFonts w:ascii="Arial" w:hAnsi="Arial" w:cs="Arial"/>
          <w:sz w:val="20"/>
          <w:szCs w:val="22"/>
          <w:lang w:val="en-GB"/>
        </w:rPr>
      </w:pPr>
      <w:r w:rsidRPr="00225C30">
        <w:rPr>
          <w:rFonts w:ascii="Arial" w:hAnsi="Arial" w:cs="Arial"/>
          <w:noProof/>
          <w:sz w:val="20"/>
          <w:szCs w:val="22"/>
          <w:lang w:val="en-GB"/>
        </w:rPr>
        <w:t>One of the main findings is that at the moment, there is little consensus on a standard for energy certification.</w:t>
      </w:r>
      <w:r w:rsidRPr="00225C30">
        <w:rPr>
          <w:rFonts w:ascii="Arial" w:hAnsi="Arial" w:cs="Arial"/>
          <w:sz w:val="20"/>
          <w:szCs w:val="22"/>
          <w:lang w:val="en-GB"/>
        </w:rPr>
        <w:t xml:space="preserve"> </w:t>
      </w:r>
      <w:r w:rsidRPr="00225C30">
        <w:rPr>
          <w:rFonts w:ascii="Arial" w:hAnsi="Arial" w:cs="Arial"/>
          <w:noProof/>
          <w:sz w:val="20"/>
          <w:szCs w:val="22"/>
          <w:lang w:val="en-GB"/>
        </w:rPr>
        <w:t>The increasing use of three leading standards, LEED (Leadership in Energy and Environment Design), BREEAM (Building Research Establishment Environmental Assessment Method), in some countries, closely followed by DGNB (the German Sustainable Building Association), demonstrates an increasing importance of certification across Europe, although with strong national differences.</w:t>
      </w:r>
      <w:r w:rsidRPr="00225C30">
        <w:rPr>
          <w:rFonts w:ascii="Arial" w:hAnsi="Arial" w:cs="Arial"/>
          <w:sz w:val="20"/>
          <w:szCs w:val="22"/>
          <w:lang w:val="en-GB"/>
        </w:rPr>
        <w:t xml:space="preserve"> </w:t>
      </w:r>
      <w:r w:rsidRPr="00225C30">
        <w:rPr>
          <w:rFonts w:ascii="Arial" w:hAnsi="Arial" w:cs="Arial"/>
          <w:noProof/>
          <w:sz w:val="20"/>
          <w:szCs w:val="22"/>
          <w:lang w:val="en-GB"/>
        </w:rPr>
        <w:t>One of these is the development of national standards in Belgium, the Czech Republic, France and Italy, while other countries, such as The Netherlands and Poland, opt to adapt international standards to their national requirements.</w:t>
      </w:r>
      <w:r w:rsidRPr="00225C30">
        <w:rPr>
          <w:rFonts w:ascii="Arial" w:hAnsi="Arial" w:cs="Arial"/>
          <w:sz w:val="20"/>
          <w:szCs w:val="22"/>
          <w:lang w:val="en-GB"/>
        </w:rPr>
        <w:t xml:space="preserve"> </w:t>
      </w:r>
      <w:r w:rsidRPr="00225C30">
        <w:rPr>
          <w:rFonts w:ascii="Arial" w:hAnsi="Arial" w:cs="Arial"/>
          <w:noProof/>
          <w:sz w:val="20"/>
          <w:szCs w:val="22"/>
          <w:lang w:val="en-GB"/>
        </w:rPr>
        <w:t>“These certifications are very useful but not entirely comparable with each other.</w:t>
      </w:r>
      <w:r w:rsidRPr="00225C30">
        <w:rPr>
          <w:rFonts w:ascii="Arial" w:hAnsi="Arial" w:cs="Arial"/>
          <w:sz w:val="20"/>
          <w:szCs w:val="22"/>
          <w:lang w:val="en-GB"/>
        </w:rPr>
        <w:t xml:space="preserve"> </w:t>
      </w:r>
      <w:r w:rsidRPr="00225C30">
        <w:rPr>
          <w:rFonts w:ascii="Arial" w:hAnsi="Arial" w:cs="Arial"/>
          <w:noProof/>
          <w:sz w:val="20"/>
          <w:szCs w:val="22"/>
          <w:lang w:val="en-GB"/>
        </w:rPr>
        <w:t>This can be confusing to both investors and users alike,” explains Weselik.</w:t>
      </w:r>
      <w:r w:rsidRPr="00225C30">
        <w:rPr>
          <w:rFonts w:ascii="Arial" w:hAnsi="Arial" w:cs="Arial"/>
          <w:sz w:val="20"/>
          <w:szCs w:val="22"/>
          <w:lang w:val="en-GB"/>
        </w:rPr>
        <w:t xml:space="preserve"> </w:t>
      </w:r>
      <w:r w:rsidRPr="00225C30">
        <w:rPr>
          <w:rFonts w:ascii="Arial" w:hAnsi="Arial" w:cs="Arial"/>
          <w:noProof/>
          <w:sz w:val="20"/>
          <w:szCs w:val="22"/>
          <w:lang w:val="en-GB"/>
        </w:rPr>
        <w:t>“A national harmonization of standards would be beneficial to the European Real Estate industry.</w:t>
      </w:r>
      <w:r w:rsidRPr="00225C30">
        <w:rPr>
          <w:rFonts w:ascii="Arial" w:hAnsi="Arial" w:cs="Arial"/>
          <w:sz w:val="20"/>
          <w:szCs w:val="22"/>
          <w:lang w:val="en-GB"/>
        </w:rPr>
        <w:t xml:space="preserve"> </w:t>
      </w:r>
      <w:r w:rsidRPr="00225C30">
        <w:rPr>
          <w:rFonts w:ascii="Arial" w:hAnsi="Arial" w:cs="Arial"/>
          <w:noProof/>
          <w:sz w:val="20"/>
          <w:szCs w:val="22"/>
          <w:lang w:val="en-GB"/>
        </w:rPr>
        <w:t>However, given the small percentage of new build in relation to the existing stock, the emerging use of certification standards for existing properties is a positive evolution.”</w:t>
      </w:r>
    </w:p>
    <w:p w:rsidR="00225C30" w:rsidRPr="00225C30" w:rsidRDefault="00225C30" w:rsidP="00225C30">
      <w:pPr>
        <w:pStyle w:val="Kopfzeile"/>
        <w:tabs>
          <w:tab w:val="left" w:pos="1080"/>
        </w:tabs>
        <w:rPr>
          <w:rFonts w:ascii="Arial" w:hAnsi="Arial" w:cs="Arial"/>
          <w:sz w:val="20"/>
          <w:szCs w:val="22"/>
          <w:lang w:val="en-GB"/>
        </w:rPr>
      </w:pPr>
    </w:p>
    <w:p w:rsidR="00225C30" w:rsidRPr="00225C30" w:rsidRDefault="00225C30" w:rsidP="00225C30">
      <w:pPr>
        <w:pStyle w:val="Kopfzeile"/>
        <w:tabs>
          <w:tab w:val="left" w:pos="1080"/>
        </w:tabs>
        <w:rPr>
          <w:rFonts w:ascii="Arial" w:hAnsi="Arial" w:cs="Arial"/>
          <w:sz w:val="20"/>
          <w:szCs w:val="22"/>
          <w:lang w:val="en-GB"/>
        </w:rPr>
      </w:pPr>
      <w:r w:rsidRPr="00225C30">
        <w:rPr>
          <w:rFonts w:ascii="Arial" w:hAnsi="Arial" w:cs="Arial"/>
          <w:noProof/>
          <w:sz w:val="20"/>
          <w:szCs w:val="22"/>
          <w:lang w:val="en-GB"/>
        </w:rPr>
        <w:lastRenderedPageBreak/>
        <w:t>Across Europe, the incentives for landlords to keep their buildings current in terms of energy efficiency are very limited.</w:t>
      </w:r>
      <w:r w:rsidRPr="00225C30">
        <w:rPr>
          <w:rFonts w:ascii="Arial" w:hAnsi="Arial" w:cs="Arial"/>
          <w:sz w:val="20"/>
          <w:szCs w:val="22"/>
          <w:lang w:val="en-GB"/>
        </w:rPr>
        <w:t xml:space="preserve"> </w:t>
      </w:r>
      <w:r w:rsidRPr="00225C30">
        <w:rPr>
          <w:rFonts w:ascii="Arial" w:hAnsi="Arial" w:cs="Arial"/>
          <w:noProof/>
          <w:sz w:val="20"/>
          <w:szCs w:val="22"/>
          <w:lang w:val="en-GB"/>
        </w:rPr>
        <w:t>With the emergence of certification standards for existing buildings, and given the huge existing  stock available throughout Europe, CMS experts believe that responsible authorities should look at expanding incentives for landlords and lessees alike.</w:t>
      </w:r>
      <w:r w:rsidRPr="00225C30">
        <w:rPr>
          <w:rFonts w:ascii="Arial" w:hAnsi="Arial" w:cs="Arial"/>
          <w:sz w:val="20"/>
          <w:szCs w:val="22"/>
          <w:lang w:val="en-GB"/>
        </w:rPr>
        <w:t xml:space="preserve"> </w:t>
      </w:r>
      <w:r w:rsidRPr="00225C30">
        <w:rPr>
          <w:rFonts w:ascii="Arial" w:hAnsi="Arial" w:cs="Arial"/>
          <w:noProof/>
          <w:sz w:val="20"/>
          <w:szCs w:val="22"/>
          <w:lang w:val="en-GB"/>
        </w:rPr>
        <w:t>This will be beneficial in terms of energy conservation as well as to the construction industry, in what are challenging economic times with high unemployment.</w:t>
      </w:r>
    </w:p>
    <w:p w:rsidR="00225C30" w:rsidRPr="00225C30" w:rsidRDefault="00225C30" w:rsidP="00225C30">
      <w:pPr>
        <w:pStyle w:val="Kopfzeile"/>
        <w:tabs>
          <w:tab w:val="left" w:pos="1080"/>
        </w:tabs>
        <w:rPr>
          <w:rFonts w:ascii="Arial" w:hAnsi="Arial" w:cs="Arial"/>
          <w:sz w:val="20"/>
          <w:szCs w:val="22"/>
          <w:lang w:val="en-GB"/>
        </w:rPr>
      </w:pPr>
      <w:r w:rsidRPr="00225C30">
        <w:rPr>
          <w:rFonts w:ascii="Arial" w:hAnsi="Arial" w:cs="Arial"/>
          <w:noProof/>
          <w:sz w:val="20"/>
          <w:szCs w:val="22"/>
          <w:lang w:val="en-GB"/>
        </w:rPr>
        <w:t>The CMS e-guide:</w:t>
      </w:r>
      <w:r w:rsidRPr="00225C30">
        <w:rPr>
          <w:rFonts w:ascii="Arial" w:hAnsi="Arial" w:cs="Arial"/>
          <w:sz w:val="20"/>
          <w:szCs w:val="22"/>
          <w:lang w:val="en-GB"/>
        </w:rPr>
        <w:t xml:space="preserve"> </w:t>
      </w:r>
      <w:r w:rsidRPr="00225C30">
        <w:rPr>
          <w:rFonts w:ascii="Arial" w:hAnsi="Arial" w:cs="Arial"/>
          <w:noProof/>
          <w:sz w:val="20"/>
          <w:szCs w:val="22"/>
          <w:lang w:val="en-GB"/>
        </w:rPr>
        <w:t>Study on the use of Green Lease Clauses in Europe is only available as an online document, which can be downloaded at:</w:t>
      </w:r>
      <w:r w:rsidRPr="00225C30">
        <w:rPr>
          <w:rFonts w:ascii="Arial" w:hAnsi="Arial" w:cs="Arial"/>
          <w:sz w:val="20"/>
          <w:szCs w:val="22"/>
          <w:lang w:val="en-GB"/>
        </w:rPr>
        <w:t xml:space="preserve"> </w:t>
      </w:r>
      <w:hyperlink r:id="rId9" w:history="1">
        <w:r w:rsidRPr="00225C30">
          <w:rPr>
            <w:rStyle w:val="Hyperlink"/>
            <w:rFonts w:ascii="Arial" w:hAnsi="Arial" w:cs="Arial"/>
            <w:sz w:val="20"/>
            <w:szCs w:val="22"/>
            <w:lang w:val="en-GB"/>
          </w:rPr>
          <w:t>http://eguides.cmslegal.com/greenleases/index.aspx</w:t>
        </w:r>
      </w:hyperlink>
      <w:r w:rsidRPr="00225C30">
        <w:rPr>
          <w:rFonts w:ascii="Arial" w:hAnsi="Arial" w:cs="Arial"/>
          <w:sz w:val="20"/>
          <w:szCs w:val="22"/>
          <w:lang w:val="en-GB"/>
        </w:rPr>
        <w:t>.</w:t>
      </w:r>
    </w:p>
    <w:p w:rsidR="00225C30" w:rsidRPr="00225C30" w:rsidRDefault="00225C30" w:rsidP="00225C30">
      <w:pPr>
        <w:pStyle w:val="Kopfzeile"/>
        <w:tabs>
          <w:tab w:val="left" w:pos="1080"/>
        </w:tabs>
        <w:rPr>
          <w:rFonts w:ascii="Arial" w:hAnsi="Arial" w:cs="Arial"/>
          <w:sz w:val="20"/>
          <w:szCs w:val="22"/>
          <w:lang w:val="en-GB"/>
        </w:rPr>
      </w:pPr>
    </w:p>
    <w:p w:rsidR="00225C30" w:rsidRPr="00225C30" w:rsidRDefault="00225C30" w:rsidP="00225C30">
      <w:pPr>
        <w:pStyle w:val="Kopfzeile"/>
        <w:tabs>
          <w:tab w:val="left" w:pos="1080"/>
        </w:tabs>
        <w:rPr>
          <w:rFonts w:ascii="Arial" w:hAnsi="Arial" w:cs="Arial"/>
          <w:b/>
          <w:bCs/>
          <w:sz w:val="20"/>
          <w:szCs w:val="22"/>
          <w:lang w:val="en-GB"/>
        </w:rPr>
      </w:pPr>
    </w:p>
    <w:p w:rsidR="00225C30" w:rsidRPr="00225C30" w:rsidRDefault="00225C30" w:rsidP="00225C30">
      <w:pPr>
        <w:rPr>
          <w:rFonts w:ascii="Arial" w:hAnsi="Arial" w:cs="Arial"/>
          <w:b/>
          <w:bCs/>
          <w:sz w:val="20"/>
          <w:szCs w:val="22"/>
          <w:lang w:val="en-GB"/>
        </w:rPr>
      </w:pPr>
      <w:r w:rsidRPr="00225C30">
        <w:rPr>
          <w:rFonts w:ascii="Arial" w:hAnsi="Arial" w:cs="Arial"/>
          <w:b/>
          <w:bCs/>
          <w:noProof/>
          <w:sz w:val="20"/>
          <w:szCs w:val="22"/>
          <w:lang w:val="en-GB"/>
        </w:rPr>
        <w:t>Leading standards</w:t>
      </w:r>
    </w:p>
    <w:p w:rsidR="00225C30" w:rsidRPr="00225C30" w:rsidRDefault="00225C30" w:rsidP="00225C30">
      <w:pPr>
        <w:rPr>
          <w:rFonts w:ascii="Arial" w:hAnsi="Arial" w:cs="Arial"/>
          <w:sz w:val="20"/>
          <w:szCs w:val="22"/>
          <w:lang w:val="en-GB"/>
        </w:rPr>
      </w:pPr>
      <w:r w:rsidRPr="00225C30">
        <w:rPr>
          <w:rFonts w:ascii="Arial" w:hAnsi="Arial" w:cs="Arial"/>
          <w:noProof/>
          <w:sz w:val="20"/>
          <w:szCs w:val="22"/>
          <w:lang w:val="en-GB"/>
        </w:rPr>
        <w:t>For more information about LEED, see:</w:t>
      </w:r>
      <w:r w:rsidRPr="00225C30">
        <w:rPr>
          <w:rFonts w:ascii="Arial" w:hAnsi="Arial" w:cs="Arial"/>
          <w:sz w:val="20"/>
          <w:szCs w:val="22"/>
          <w:lang w:val="en-GB"/>
        </w:rPr>
        <w:t xml:space="preserve"> </w:t>
      </w:r>
      <w:hyperlink r:id="rId10" w:history="1">
        <w:r w:rsidRPr="00225C30">
          <w:rPr>
            <w:rStyle w:val="Hyperlink"/>
            <w:rFonts w:ascii="Arial" w:hAnsi="Arial" w:cs="Arial"/>
            <w:sz w:val="20"/>
            <w:szCs w:val="22"/>
            <w:lang w:val="en-GB"/>
          </w:rPr>
          <w:t>http://www.usgbc.org/DisplayPage.aspx?CMSPageID=1988</w:t>
        </w:r>
      </w:hyperlink>
    </w:p>
    <w:p w:rsidR="00225C30" w:rsidRPr="00225C30" w:rsidRDefault="00225C30" w:rsidP="00225C30">
      <w:pPr>
        <w:rPr>
          <w:rFonts w:ascii="Arial" w:hAnsi="Arial" w:cs="Arial"/>
          <w:sz w:val="20"/>
          <w:szCs w:val="22"/>
          <w:lang w:val="en-GB"/>
        </w:rPr>
      </w:pPr>
      <w:r w:rsidRPr="00225C30">
        <w:rPr>
          <w:rFonts w:ascii="Arial" w:hAnsi="Arial" w:cs="Arial"/>
          <w:noProof/>
          <w:sz w:val="20"/>
          <w:szCs w:val="22"/>
          <w:lang w:val="en-GB"/>
        </w:rPr>
        <w:t>More information about BREEAM, can be found on:</w:t>
      </w:r>
      <w:r w:rsidRPr="00225C30">
        <w:rPr>
          <w:rFonts w:ascii="Arial" w:hAnsi="Arial" w:cs="Arial"/>
          <w:sz w:val="20"/>
          <w:szCs w:val="22"/>
          <w:lang w:val="en-GB"/>
        </w:rPr>
        <w:t xml:space="preserve"> </w:t>
      </w:r>
      <w:hyperlink r:id="rId11" w:history="1">
        <w:r w:rsidRPr="00225C30">
          <w:rPr>
            <w:rStyle w:val="Hyperlink"/>
            <w:rFonts w:ascii="Arial" w:hAnsi="Arial" w:cs="Arial"/>
            <w:sz w:val="20"/>
            <w:szCs w:val="22"/>
            <w:lang w:val="en-GB"/>
          </w:rPr>
          <w:t>http://www.breeam.org/</w:t>
        </w:r>
      </w:hyperlink>
    </w:p>
    <w:p w:rsidR="00225C30" w:rsidRPr="00225C30" w:rsidRDefault="00225C30" w:rsidP="00225C30">
      <w:pPr>
        <w:rPr>
          <w:rFonts w:ascii="Arial" w:hAnsi="Arial" w:cs="Arial"/>
          <w:sz w:val="20"/>
          <w:szCs w:val="22"/>
          <w:lang w:val="en-GB"/>
        </w:rPr>
      </w:pPr>
      <w:r w:rsidRPr="00225C30">
        <w:rPr>
          <w:rFonts w:ascii="Arial" w:hAnsi="Arial" w:cs="Arial"/>
          <w:noProof/>
          <w:sz w:val="20"/>
          <w:szCs w:val="22"/>
          <w:lang w:val="en-GB"/>
        </w:rPr>
        <w:t>For more information about DGNB, see:</w:t>
      </w:r>
      <w:r w:rsidRPr="00225C30">
        <w:rPr>
          <w:rFonts w:ascii="Arial" w:hAnsi="Arial" w:cs="Arial"/>
          <w:sz w:val="20"/>
          <w:szCs w:val="22"/>
          <w:lang w:val="en-GB"/>
        </w:rPr>
        <w:t xml:space="preserve"> </w:t>
      </w:r>
      <w:hyperlink r:id="rId12" w:history="1">
        <w:r w:rsidRPr="00225C30">
          <w:rPr>
            <w:rStyle w:val="Hyperlink"/>
            <w:rFonts w:ascii="Arial" w:hAnsi="Arial" w:cs="Arial"/>
            <w:sz w:val="20"/>
            <w:szCs w:val="22"/>
            <w:lang w:val="en-GB"/>
          </w:rPr>
          <w:t>http://www.dgnb.de/_en/index.php</w:t>
        </w:r>
      </w:hyperlink>
    </w:p>
    <w:p w:rsidR="00225C30" w:rsidRPr="00225C30" w:rsidRDefault="00225C30" w:rsidP="00225C30">
      <w:pPr>
        <w:rPr>
          <w:rFonts w:ascii="Arial" w:hAnsi="Arial" w:cs="Arial"/>
          <w:sz w:val="20"/>
          <w:szCs w:val="22"/>
          <w:lang w:val="en-GB"/>
        </w:rPr>
      </w:pPr>
      <w:r w:rsidRPr="00225C30">
        <w:rPr>
          <w:rFonts w:ascii="Arial" w:hAnsi="Arial" w:cs="Arial"/>
          <w:sz w:val="20"/>
          <w:szCs w:val="22"/>
          <w:lang w:val="en-GB"/>
        </w:rPr>
        <w:t xml:space="preserve"> </w:t>
      </w:r>
    </w:p>
    <w:p w:rsidR="00225C30" w:rsidRPr="00225C30" w:rsidRDefault="00225C30" w:rsidP="00225C30">
      <w:pPr>
        <w:rPr>
          <w:rFonts w:ascii="Arial" w:hAnsi="Arial" w:cs="Arial"/>
          <w:sz w:val="20"/>
          <w:szCs w:val="22"/>
          <w:lang w:val="en-GB"/>
        </w:rPr>
      </w:pPr>
    </w:p>
    <w:p w:rsidR="00225C30" w:rsidRPr="00225C30" w:rsidRDefault="00225C30" w:rsidP="00225C30">
      <w:pPr>
        <w:rPr>
          <w:rFonts w:ascii="Arial" w:hAnsi="Arial" w:cs="Arial"/>
          <w:b/>
          <w:bCs/>
          <w:sz w:val="20"/>
          <w:szCs w:val="22"/>
          <w:lang w:val="en-GB"/>
        </w:rPr>
      </w:pPr>
      <w:r w:rsidRPr="00225C30">
        <w:rPr>
          <w:rFonts w:ascii="Arial" w:hAnsi="Arial" w:cs="Arial"/>
          <w:b/>
          <w:bCs/>
          <w:noProof/>
          <w:sz w:val="20"/>
          <w:szCs w:val="22"/>
          <w:lang w:val="en-GB"/>
        </w:rPr>
        <w:t>About the CMS Real Estate practice</w:t>
      </w:r>
    </w:p>
    <w:p w:rsidR="001809DD" w:rsidRPr="00225C30" w:rsidRDefault="00225C30" w:rsidP="00225C30">
      <w:pPr>
        <w:rPr>
          <w:rFonts w:ascii="Arial" w:hAnsi="Arial" w:cs="Arial"/>
          <w:sz w:val="18"/>
          <w:lang w:val="en-GB"/>
        </w:rPr>
      </w:pPr>
      <w:r w:rsidRPr="00225C30">
        <w:rPr>
          <w:rFonts w:ascii="Arial" w:hAnsi="Arial" w:cs="Arial"/>
          <w:noProof/>
          <w:sz w:val="20"/>
          <w:szCs w:val="22"/>
          <w:lang w:val="en-GB"/>
        </w:rPr>
        <w:t>The CMS Real Estate and Construction Group is comprised of more than 115 partners and nearly 340 qualified lawyers.</w:t>
      </w:r>
      <w:r w:rsidRPr="00225C30">
        <w:rPr>
          <w:rFonts w:ascii="Arial" w:hAnsi="Arial" w:cs="Arial"/>
          <w:sz w:val="20"/>
          <w:szCs w:val="22"/>
          <w:lang w:val="en-GB"/>
        </w:rPr>
        <w:t xml:space="preserve"> </w:t>
      </w:r>
      <w:r w:rsidRPr="00225C30">
        <w:rPr>
          <w:rFonts w:ascii="Arial" w:hAnsi="Arial" w:cs="Arial"/>
          <w:noProof/>
          <w:sz w:val="20"/>
          <w:szCs w:val="22"/>
          <w:lang w:val="en-GB"/>
        </w:rPr>
        <w:t>Its broad, full-service expertise allows it to help clients with every tax and legal issue related to real estate and construction – from simple lease negotiations to large-scale construction projects, including financing, investment funds and structuring.</w:t>
      </w:r>
      <w:r w:rsidRPr="00225C30">
        <w:rPr>
          <w:rFonts w:ascii="Arial" w:hAnsi="Arial" w:cs="Arial"/>
          <w:sz w:val="20"/>
          <w:szCs w:val="22"/>
          <w:lang w:val="en-GB"/>
        </w:rPr>
        <w:t xml:space="preserve"> </w:t>
      </w:r>
      <w:r w:rsidRPr="00225C30">
        <w:rPr>
          <w:rFonts w:ascii="Arial" w:hAnsi="Arial" w:cs="Arial"/>
          <w:noProof/>
          <w:sz w:val="20"/>
          <w:szCs w:val="22"/>
          <w:lang w:val="en-GB"/>
        </w:rPr>
        <w:t>The group’s excellent reputation is rooted in its ability to deliver swift, precise advice, extensive industry knowledge and a detailed understanding of its markets</w:t>
      </w:r>
      <w:r w:rsidRPr="00225C30">
        <w:rPr>
          <w:rFonts w:ascii="Arial" w:hAnsi="Arial" w:cs="Arial"/>
          <w:b/>
          <w:bCs/>
          <w:noProof/>
          <w:sz w:val="20"/>
          <w:szCs w:val="22"/>
          <w:lang w:val="en-GB"/>
        </w:rPr>
        <w:t>.</w:t>
      </w:r>
    </w:p>
    <w:p w:rsidR="001809DD" w:rsidRPr="00B918CB" w:rsidRDefault="001809DD" w:rsidP="001809DD">
      <w:pPr>
        <w:rPr>
          <w:rFonts w:ascii="Arial" w:hAnsi="Arial" w:cs="Arial"/>
          <w:sz w:val="20"/>
          <w:lang w:val="en-GB"/>
        </w:rPr>
      </w:pPr>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2379BF">
        <w:rPr>
          <w:rFonts w:ascii="Arial" w:hAnsi="Arial" w:cs="Arial"/>
          <w:iCs/>
          <w:sz w:val="16"/>
          <w:szCs w:val="16"/>
          <w:lang w:val="de-DE"/>
        </w:rPr>
        <w:t>4000</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2379BF">
        <w:rPr>
          <w:rFonts w:ascii="Arial" w:hAnsi="Arial" w:cs="Arial"/>
          <w:iCs/>
          <w:sz w:val="16"/>
          <w:szCs w:val="16"/>
          <w:lang w:val="de-DE"/>
        </w:rPr>
        <w:t>4000</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13"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1775D4">
      <w:pPr>
        <w:pStyle w:val="StandardWeb"/>
        <w:jc w:val="both"/>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1775D4">
      <w:pPr>
        <w:pStyle w:val="StandardWeb"/>
        <w:spacing w:before="0" w:beforeAutospacing="0" w:after="0" w:afterAutospacing="0"/>
        <w:jc w:val="both"/>
        <w:rPr>
          <w:lang w:val="en-GB"/>
        </w:rPr>
      </w:pPr>
      <w:r w:rsidRPr="00786FDA">
        <w:rPr>
          <w:rFonts w:ascii="Arial" w:hAnsi="Arial" w:cs="Arial"/>
          <w:sz w:val="16"/>
          <w:szCs w:val="16"/>
          <w:lang w:val="en-GB"/>
        </w:rPr>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w:t>
      </w:r>
      <w:r w:rsidR="007D253D">
        <w:rPr>
          <w:rFonts w:ascii="Arial" w:hAnsi="Arial" w:cs="Arial"/>
          <w:sz w:val="16"/>
          <w:szCs w:val="16"/>
          <w:lang w:val="en-GB"/>
        </w:rPr>
        <w:t>7</w:t>
      </w:r>
      <w:r w:rsidRPr="00786FDA">
        <w:rPr>
          <w:rFonts w:ascii="Arial" w:hAnsi="Arial" w:cs="Arial"/>
          <w:sz w:val="16"/>
          <w:szCs w:val="16"/>
          <w:lang w:val="en-GB"/>
        </w:rPr>
        <w:t>00 partners, 2,</w:t>
      </w:r>
      <w:r w:rsidR="007D253D">
        <w:rPr>
          <w:rFonts w:ascii="Arial" w:hAnsi="Arial" w:cs="Arial"/>
          <w:sz w:val="16"/>
          <w:szCs w:val="16"/>
          <w:lang w:val="en-GB"/>
        </w:rPr>
        <w:t>8</w:t>
      </w:r>
      <w:r w:rsidRPr="00786FDA">
        <w:rPr>
          <w:rFonts w:ascii="Arial" w:hAnsi="Arial" w:cs="Arial"/>
          <w:sz w:val="16"/>
          <w:szCs w:val="16"/>
          <w:lang w:val="en-GB"/>
        </w:rPr>
        <w:t xml:space="preserve">00 lawyers and tax consultants, and a total of </w:t>
      </w:r>
      <w:r w:rsidR="007D253D">
        <w:rPr>
          <w:rFonts w:ascii="Arial" w:hAnsi="Arial" w:cs="Arial"/>
          <w:sz w:val="16"/>
          <w:szCs w:val="16"/>
          <w:lang w:val="en-GB"/>
        </w:rPr>
        <w:t>5</w:t>
      </w:r>
      <w:r w:rsidRPr="00786FDA">
        <w:rPr>
          <w:rFonts w:ascii="Arial" w:hAnsi="Arial" w:cs="Arial"/>
          <w:sz w:val="16"/>
          <w:szCs w:val="16"/>
          <w:lang w:val="en-GB"/>
        </w:rPr>
        <w:t>,</w:t>
      </w:r>
      <w:r w:rsidR="007D253D">
        <w:rPr>
          <w:rFonts w:ascii="Arial" w:hAnsi="Arial" w:cs="Arial"/>
          <w:sz w:val="16"/>
          <w:szCs w:val="16"/>
          <w:lang w:val="en-GB"/>
        </w:rPr>
        <w:t>0</w:t>
      </w:r>
      <w:r w:rsidRPr="00786FDA">
        <w:rPr>
          <w:rFonts w:ascii="Arial" w:hAnsi="Arial" w:cs="Arial"/>
          <w:sz w:val="16"/>
          <w:szCs w:val="16"/>
          <w:lang w:val="en-GB"/>
        </w:rPr>
        <w:t xml:space="preserve">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w:t>
      </w:r>
      <w:r w:rsidR="00F9243D">
        <w:rPr>
          <w:rFonts w:ascii="Arial" w:hAnsi="Arial" w:cs="Arial"/>
          <w:sz w:val="16"/>
          <w:szCs w:val="16"/>
          <w:lang w:val="en-US"/>
        </w:rPr>
        <w:t>30</w:t>
      </w:r>
      <w:r w:rsidRPr="003C2669">
        <w:rPr>
          <w:rFonts w:ascii="Arial" w:hAnsi="Arial" w:cs="Arial"/>
          <w:sz w:val="16"/>
          <w:szCs w:val="16"/>
          <w:lang w:val="en-US"/>
        </w:rPr>
        <w:t xml:space="preserve"> jurisdictions, with 5</w:t>
      </w:r>
      <w:r w:rsidR="00F9243D">
        <w:rPr>
          <w:rFonts w:ascii="Arial" w:hAnsi="Arial" w:cs="Arial"/>
          <w:sz w:val="16"/>
          <w:szCs w:val="16"/>
          <w:lang w:val="en-US"/>
        </w:rPr>
        <w:t>4</w:t>
      </w:r>
      <w:r w:rsidRPr="003C2669">
        <w:rPr>
          <w:rFonts w:ascii="Arial" w:hAnsi="Arial" w:cs="Arial"/>
          <w:sz w:val="16"/>
          <w:szCs w:val="16"/>
          <w:lang w:val="en-US"/>
        </w:rPr>
        <w:t xml:space="preserve"> offices in Western and Central Europe and beyond. CMS was established in 1999 and today comprises ni</w:t>
      </w:r>
      <w:r w:rsidR="007D253D">
        <w:rPr>
          <w:rFonts w:ascii="Arial" w:hAnsi="Arial" w:cs="Arial"/>
          <w:sz w:val="16"/>
          <w:szCs w:val="16"/>
          <w:lang w:val="en-US"/>
        </w:rPr>
        <w:t>ne CMS firms, employing over 2,8</w:t>
      </w:r>
      <w:r w:rsidRPr="003C2669">
        <w:rPr>
          <w:rFonts w:ascii="Arial" w:hAnsi="Arial" w:cs="Arial"/>
          <w:sz w:val="16"/>
          <w:szCs w:val="16"/>
          <w:lang w:val="en-US"/>
        </w:rPr>
        <w:t xml:space="preserve">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00143F93">
        <w:rPr>
          <w:rFonts w:ascii="Arial" w:hAnsi="Arial" w:cs="Arial"/>
          <w:sz w:val="16"/>
          <w:szCs w:val="16"/>
          <w:lang w:val="en-US"/>
        </w:rPr>
        <w:t xml:space="preserve"> </w:t>
      </w:r>
      <w:proofErr w:type="spellStart"/>
      <w:r w:rsidR="00143F93" w:rsidRPr="00143F93">
        <w:rPr>
          <w:rFonts w:ascii="Arial" w:hAnsi="Arial" w:cs="Arial"/>
          <w:sz w:val="16"/>
          <w:szCs w:val="16"/>
          <w:lang w:val="en-US"/>
        </w:rPr>
        <w:t>Leclère</w:t>
      </w:r>
      <w:proofErr w:type="spellEnd"/>
      <w:r w:rsidR="00143F93" w:rsidRPr="00143F93">
        <w:rPr>
          <w:rFonts w:ascii="Arial" w:hAnsi="Arial" w:cs="Arial"/>
          <w:sz w:val="16"/>
          <w:szCs w:val="16"/>
          <w:lang w:val="en-US"/>
        </w:rPr>
        <w:t xml:space="preserve"> </w:t>
      </w:r>
      <w:proofErr w:type="spellStart"/>
      <w:r w:rsidR="00143F93" w:rsidRPr="00143F93">
        <w:rPr>
          <w:rFonts w:ascii="Arial" w:hAnsi="Arial" w:cs="Arial"/>
          <w:sz w:val="16"/>
          <w:szCs w:val="16"/>
          <w:lang w:val="en-US"/>
        </w:rPr>
        <w:t>Walry</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w:t>
      </w:r>
      <w:r w:rsidRPr="00B918CB">
        <w:rPr>
          <w:rFonts w:ascii="Arial" w:hAnsi="Arial" w:cs="Arial"/>
          <w:sz w:val="16"/>
          <w:szCs w:val="16"/>
        </w:rPr>
        <w:t>(Switzerland); CMS Hasche Sigle (Germany) and CMS Reich-Rohrwig Hainz Rechtsanwälte GmbH (Austria).</w:t>
      </w:r>
    </w:p>
    <w:p w:rsidR="003C2669" w:rsidRPr="00B918CB" w:rsidRDefault="003C2669" w:rsidP="003C2669">
      <w:pPr>
        <w:ind w:right="-2"/>
        <w:rPr>
          <w:rFonts w:ascii="Arial" w:hAnsi="Arial" w:cs="Arial"/>
          <w:sz w:val="16"/>
          <w:szCs w:val="16"/>
        </w:rPr>
      </w:pPr>
    </w:p>
    <w:p w:rsidR="003C2669" w:rsidRPr="002379BF" w:rsidRDefault="003C2669" w:rsidP="003C2669">
      <w:pPr>
        <w:ind w:right="-2"/>
        <w:rPr>
          <w:rFonts w:ascii="Arial" w:hAnsi="Arial" w:cs="Arial"/>
          <w:sz w:val="16"/>
          <w:szCs w:val="16"/>
          <w:lang w:val="en-GB"/>
        </w:rPr>
      </w:pPr>
      <w:r w:rsidRPr="002379BF">
        <w:rPr>
          <w:rFonts w:ascii="Arial" w:hAnsi="Arial" w:cs="Arial"/>
          <w:b/>
          <w:sz w:val="16"/>
          <w:szCs w:val="16"/>
          <w:lang w:val="en-GB"/>
        </w:rPr>
        <w:lastRenderedPageBreak/>
        <w:t>CMS offices and associated offices:</w:t>
      </w:r>
      <w:r w:rsidRPr="002379BF">
        <w:rPr>
          <w:rFonts w:ascii="Arial" w:hAnsi="Arial" w:cs="Arial"/>
          <w:sz w:val="16"/>
          <w:szCs w:val="16"/>
          <w:lang w:val="en-GB"/>
        </w:rPr>
        <w:t xml:space="preserve"> Amsterdam, Berlin, Brussels, London, Madrid, Paris, Rome, Vienna, Zurich, Aberdeen, Algiers, Antwerp, Beijing, Belgrade, Bratislava, Bristol, Bucharest, Budapest, Buenos Aires, Casablanca, Cologne, Dresden, Duesseldorf, Edinburgh, Frankfurt, Hamburg, Kyiv, Leipzig, Ljubljana,</w:t>
      </w:r>
      <w:r w:rsidR="007D253D" w:rsidRPr="002379BF">
        <w:rPr>
          <w:rFonts w:ascii="Arial" w:hAnsi="Arial" w:cs="Arial"/>
          <w:sz w:val="16"/>
          <w:szCs w:val="16"/>
          <w:lang w:val="en-GB"/>
        </w:rPr>
        <w:t xml:space="preserve"> Luxembourg,</w:t>
      </w:r>
      <w:r w:rsidRPr="002379BF">
        <w:rPr>
          <w:rFonts w:ascii="Arial" w:hAnsi="Arial" w:cs="Arial"/>
          <w:sz w:val="16"/>
          <w:szCs w:val="16"/>
          <w:lang w:val="en-GB"/>
        </w:rPr>
        <w:t xml:space="preserve"> Lyon, Marbella, Milan, Montevideo, Moscow, Munich, Prague, </w:t>
      </w:r>
      <w:r w:rsidR="0005630C" w:rsidRPr="002379BF">
        <w:rPr>
          <w:rFonts w:ascii="Arial" w:hAnsi="Arial" w:cs="Arial"/>
          <w:sz w:val="16"/>
          <w:szCs w:val="16"/>
          <w:lang w:val="en-GB"/>
        </w:rPr>
        <w:t xml:space="preserve">Rio de Janeiro, </w:t>
      </w:r>
      <w:r w:rsidRPr="002379BF">
        <w:rPr>
          <w:rFonts w:ascii="Arial" w:hAnsi="Arial" w:cs="Arial"/>
          <w:sz w:val="16"/>
          <w:szCs w:val="16"/>
          <w:lang w:val="en-GB"/>
        </w:rPr>
        <w:t xml:space="preserve">Sarajevo, Seville, Shanghai, Sofia, Strasbourg, Stuttgart, </w:t>
      </w:r>
      <w:r w:rsidR="002379BF" w:rsidRPr="002379BF">
        <w:rPr>
          <w:rFonts w:ascii="Arial" w:hAnsi="Arial" w:cs="Arial"/>
          <w:sz w:val="16"/>
          <w:szCs w:val="16"/>
          <w:lang w:val="en-GB"/>
        </w:rPr>
        <w:t xml:space="preserve">Tirana, </w:t>
      </w:r>
      <w:r w:rsidRPr="002379BF">
        <w:rPr>
          <w:rFonts w:ascii="Arial" w:hAnsi="Arial" w:cs="Arial"/>
          <w:sz w:val="16"/>
          <w:szCs w:val="16"/>
          <w:lang w:val="en-GB"/>
        </w:rPr>
        <w:t>Utrecht, Warsaw and Zagreb.</w:t>
      </w:r>
    </w:p>
    <w:p w:rsidR="003E72CD" w:rsidRPr="002379BF" w:rsidRDefault="003E72CD" w:rsidP="003C2669">
      <w:pPr>
        <w:ind w:right="-2"/>
        <w:rPr>
          <w:rFonts w:ascii="Arial" w:hAnsi="Arial" w:cs="Arial"/>
          <w:sz w:val="16"/>
          <w:szCs w:val="16"/>
          <w:lang w:val="en-GB"/>
        </w:rPr>
      </w:pPr>
    </w:p>
    <w:sectPr w:rsidR="003E72CD" w:rsidRPr="002379BF" w:rsidSect="008C02DD">
      <w:headerReference w:type="default" r:id="rId14"/>
      <w:headerReference w:type="first" r:id="rId15"/>
      <w:footerReference w:type="first" r:id="rId16"/>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30" w:rsidRDefault="00225C30">
      <w:r>
        <w:separator/>
      </w:r>
    </w:p>
  </w:endnote>
  <w:endnote w:type="continuationSeparator" w:id="0">
    <w:p w:rsidR="00225C30" w:rsidRDefault="0022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493096" w:rsidRDefault="001775D4"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1775D4" w:rsidRPr="00493096" w:rsidRDefault="001775D4"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1775D4" w:rsidRPr="00FC7E04" w:rsidRDefault="001775D4"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 xml:space="preserve">Aberdeen, Algiers, Amsterdam, Antwerp, Beijing, Belgrade, Berlin, Bratislava, Bristol, Brussels, Bucharest, Budapest, Buenos Aires, Casablanca, Cologne, Dresden, Dusseldorf, Edinburgh, Frankfurt, Hamburg, Kyiv, Leipzig, Ljubljana, London, </w:t>
    </w:r>
    <w:r>
      <w:rPr>
        <w:rStyle w:val="Third"/>
        <w:rFonts w:ascii="Arial Narrow" w:hAnsi="Arial Narrow"/>
        <w:bCs/>
        <w:lang w:val="nl-BE"/>
      </w:rPr>
      <w:t xml:space="preserve">Luxembourg, </w:t>
    </w:r>
    <w:r w:rsidRPr="00762601">
      <w:rPr>
        <w:rStyle w:val="Third"/>
        <w:rFonts w:ascii="Arial Narrow" w:hAnsi="Arial Narrow"/>
        <w:bCs/>
        <w:lang w:val="nl-BE"/>
      </w:rPr>
      <w:t xml:space="preserve">Lyon, Madrid, Marbella, Milan, Montevideo, Moscow, Munich, New York, Paris, Prague, Rome, </w:t>
    </w:r>
    <w:r w:rsidR="0005630C">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30" w:rsidRDefault="00225C30">
      <w:r>
        <w:separator/>
      </w:r>
    </w:p>
  </w:footnote>
  <w:footnote w:type="continuationSeparator" w:id="0">
    <w:p w:rsidR="00225C30" w:rsidRDefault="0022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Default="001775D4">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14:anchorId="39063BA3" wp14:editId="3F2AB7B4">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225C30">
      <w:rPr>
        <w:rStyle w:val="Seitenzahl"/>
        <w:noProof/>
        <w:sz w:val="22"/>
      </w:rPr>
      <w:t>2</w:t>
    </w:r>
    <w:r>
      <w:rPr>
        <w:rStyle w:val="Seitenzahl"/>
        <w:sz w:val="22"/>
      </w:rPr>
      <w:fldChar w:fldCharType="end"/>
    </w:r>
  </w:p>
  <w:p w:rsidR="001775D4" w:rsidRDefault="001775D4">
    <w:pPr>
      <w:pStyle w:val="Kopfzeile"/>
      <w:tabs>
        <w:tab w:val="clear" w:pos="4536"/>
        <w:tab w:val="clear" w:pos="9072"/>
        <w:tab w:val="center" w:pos="4678"/>
        <w:tab w:val="right" w:pos="9356"/>
      </w:tabs>
      <w:rPr>
        <w:rStyle w:val="Seitenzahl"/>
        <w:sz w:val="22"/>
      </w:rPr>
    </w:pPr>
  </w:p>
  <w:p w:rsidR="001775D4" w:rsidRDefault="001775D4">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5E7F5F" w:rsidRDefault="00D76FE2" w:rsidP="00D76FE2">
    <w:pPr>
      <w:pStyle w:val="Kopfzeile"/>
      <w:jc w:val="right"/>
      <w:rPr>
        <w:rFonts w:ascii="Arial" w:hAnsi="Arial"/>
        <w:sz w:val="13"/>
      </w:rPr>
    </w:pPr>
    <w:r>
      <w:rPr>
        <w:noProof/>
        <w:lang w:eastAsia="de-AT"/>
      </w:rPr>
      <w:drawing>
        <wp:inline distT="0" distB="0" distL="0" distR="0" wp14:anchorId="565AAC2D" wp14:editId="6F8C0F04">
          <wp:extent cx="1009650" cy="5958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SLawTa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866" cy="5982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30"/>
    <w:rsid w:val="00002B33"/>
    <w:rsid w:val="00015F2D"/>
    <w:rsid w:val="00023B59"/>
    <w:rsid w:val="0004226C"/>
    <w:rsid w:val="00045898"/>
    <w:rsid w:val="00050F4D"/>
    <w:rsid w:val="000515F8"/>
    <w:rsid w:val="0005630C"/>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3F93"/>
    <w:rsid w:val="00147ABE"/>
    <w:rsid w:val="00147D48"/>
    <w:rsid w:val="001502A5"/>
    <w:rsid w:val="00166689"/>
    <w:rsid w:val="00175D55"/>
    <w:rsid w:val="001775D4"/>
    <w:rsid w:val="001809DD"/>
    <w:rsid w:val="0018174F"/>
    <w:rsid w:val="00194BE5"/>
    <w:rsid w:val="001B3B15"/>
    <w:rsid w:val="001B789B"/>
    <w:rsid w:val="001E2352"/>
    <w:rsid w:val="001F0EA3"/>
    <w:rsid w:val="0021662D"/>
    <w:rsid w:val="002230A9"/>
    <w:rsid w:val="00225C30"/>
    <w:rsid w:val="002379BF"/>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253D"/>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878AF"/>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76FE2"/>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243D"/>
    <w:rsid w:val="00F948C4"/>
    <w:rsid w:val="00F95057"/>
    <w:rsid w:val="00FA1478"/>
    <w:rsid w:val="00FA4586"/>
    <w:rsid w:val="00FB3782"/>
    <w:rsid w:val="00FC7E04"/>
    <w:rsid w:val="00FD11A0"/>
    <w:rsid w:val="00FD3858"/>
    <w:rsid w:val="00FD4A7D"/>
    <w:rsid w:val="00FE2FB6"/>
    <w:rsid w:val="00FE6A42"/>
    <w:rsid w:val="00FE72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 w:type="character" w:styleId="Kommentarzeichen">
    <w:name w:val="annotation reference"/>
    <w:basedOn w:val="Absatz-Standardschriftart"/>
    <w:rsid w:val="00225C30"/>
    <w:rPr>
      <w:sz w:val="16"/>
      <w:szCs w:val="16"/>
    </w:rPr>
  </w:style>
  <w:style w:type="paragraph" w:styleId="Kommentartext">
    <w:name w:val="annotation text"/>
    <w:basedOn w:val="Standard"/>
    <w:link w:val="KommentartextZchn"/>
    <w:rsid w:val="00225C30"/>
    <w:pPr>
      <w:jc w:val="left"/>
    </w:pPr>
    <w:rPr>
      <w:rFonts w:eastAsia="MS Mincho"/>
      <w:sz w:val="20"/>
      <w:lang w:val="en-US" w:eastAsia="ja-JP"/>
    </w:rPr>
  </w:style>
  <w:style w:type="character" w:customStyle="1" w:styleId="KommentartextZchn">
    <w:name w:val="Kommentartext Zchn"/>
    <w:basedOn w:val="Absatz-Standardschriftart"/>
    <w:link w:val="Kommentartext"/>
    <w:rsid w:val="00225C30"/>
    <w:rPr>
      <w:rFonts w:eastAsia="MS Mincho"/>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 w:type="character" w:styleId="Kommentarzeichen">
    <w:name w:val="annotation reference"/>
    <w:basedOn w:val="Absatz-Standardschriftart"/>
    <w:rsid w:val="00225C30"/>
    <w:rPr>
      <w:sz w:val="16"/>
      <w:szCs w:val="16"/>
    </w:rPr>
  </w:style>
  <w:style w:type="paragraph" w:styleId="Kommentartext">
    <w:name w:val="annotation text"/>
    <w:basedOn w:val="Standard"/>
    <w:link w:val="KommentartextZchn"/>
    <w:rsid w:val="00225C30"/>
    <w:pPr>
      <w:jc w:val="left"/>
    </w:pPr>
    <w:rPr>
      <w:rFonts w:eastAsia="MS Mincho"/>
      <w:sz w:val="20"/>
      <w:lang w:val="en-US" w:eastAsia="ja-JP"/>
    </w:rPr>
  </w:style>
  <w:style w:type="character" w:customStyle="1" w:styleId="KommentartextZchn">
    <w:name w:val="Kommentartext Zchn"/>
    <w:basedOn w:val="Absatz-Standardschriftart"/>
    <w:link w:val="Kommentartext"/>
    <w:rsid w:val="00225C30"/>
    <w:rPr>
      <w:rFonts w:eastAsia="MS Mincho"/>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guides.cmslegal.com/greenleases/index.aspx" TargetMode="External"/><Relationship Id="rId13" Type="http://schemas.openxmlformats.org/officeDocument/2006/relationships/hyperlink" Target="mailto:kristijana.lastro@cms-rrh.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gnb.de/_en/index.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eeam.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sgbc.org/DisplayPage.aspx?CMSPageID=1988" TargetMode="External"/><Relationship Id="rId4" Type="http://schemas.openxmlformats.org/officeDocument/2006/relationships/settings" Target="settings.xml"/><Relationship Id="rId9" Type="http://schemas.openxmlformats.org/officeDocument/2006/relationships/hyperlink" Target="http://eguides.cmslegal.com/greenleases/index.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3</Pages>
  <Words>1097</Words>
  <Characters>6913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7995</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Christoph Breitenecker</dc:creator>
  <cp:lastModifiedBy>Christoph Breitenecker</cp:lastModifiedBy>
  <cp:revision>1</cp:revision>
  <cp:lastPrinted>2006-09-04T11:12:00Z</cp:lastPrinted>
  <dcterms:created xsi:type="dcterms:W3CDTF">2011-11-28T10:50:00Z</dcterms:created>
  <dcterms:modified xsi:type="dcterms:W3CDTF">2011-11-28T10:53:00Z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