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295799" w:rsidRDefault="0053460B">
      <w:pPr>
        <w:pStyle w:val="Kopf"/>
        <w:rPr>
          <w:lang w:val="en-GB"/>
        </w:rPr>
      </w:pPr>
      <w:r w:rsidRPr="00295799">
        <w:rPr>
          <w:lang w:val="en-GB"/>
        </w:rPr>
        <w:t xml:space="preserve"> </w:t>
      </w:r>
    </w:p>
    <w:p w:rsidR="00E03151" w:rsidRPr="00295799" w:rsidRDefault="00E03151" w:rsidP="003C7A70">
      <w:pPr>
        <w:pStyle w:val="Kopf"/>
        <w:spacing w:line="360" w:lineRule="exact"/>
        <w:rPr>
          <w:sz w:val="26"/>
          <w:szCs w:val="26"/>
          <w:lang w:val="en-GB"/>
        </w:rPr>
      </w:pPr>
    </w:p>
    <w:p w:rsidR="00E03151" w:rsidRPr="00295799" w:rsidRDefault="00E03151" w:rsidP="003C7A70">
      <w:pPr>
        <w:pStyle w:val="Kopf"/>
        <w:spacing w:line="360" w:lineRule="exact"/>
        <w:rPr>
          <w:sz w:val="26"/>
          <w:szCs w:val="26"/>
          <w:lang w:val="en-GB"/>
        </w:rPr>
      </w:pPr>
    </w:p>
    <w:p w:rsidR="00D8203B" w:rsidRPr="000479EF" w:rsidRDefault="00C8763F" w:rsidP="00C8763F">
      <w:pPr>
        <w:pStyle w:val="Beilagen"/>
        <w:spacing w:line="480" w:lineRule="auto"/>
        <w:rPr>
          <w:rFonts w:ascii="Arial Narrow" w:hAnsi="Arial Narrow"/>
          <w:b/>
          <w:bCs/>
          <w:color w:val="C0C0C0"/>
          <w:sz w:val="80"/>
          <w:szCs w:val="80"/>
          <w:lang w:val="en-US"/>
        </w:rPr>
      </w:pPr>
      <w:r w:rsidRPr="000479EF">
        <w:rPr>
          <w:rFonts w:ascii="Arial Narrow" w:hAnsi="Arial Narrow"/>
          <w:b/>
          <w:bCs/>
          <w:color w:val="C0C0C0"/>
          <w:sz w:val="80"/>
          <w:szCs w:val="80"/>
          <w:lang w:val="en-US"/>
        </w:rPr>
        <w:t>Pre</w:t>
      </w:r>
      <w:bookmarkStart w:id="0" w:name="_GoBack"/>
      <w:bookmarkEnd w:id="0"/>
      <w:r w:rsidRPr="000479EF">
        <w:rPr>
          <w:rFonts w:ascii="Arial Narrow" w:hAnsi="Arial Narrow"/>
          <w:b/>
          <w:bCs/>
          <w:color w:val="C0C0C0"/>
          <w:sz w:val="80"/>
          <w:szCs w:val="80"/>
          <w:lang w:val="en-US"/>
        </w:rPr>
        <w:t>ss</w:t>
      </w:r>
      <w:r w:rsidR="001809DD" w:rsidRPr="000479EF">
        <w:rPr>
          <w:rFonts w:ascii="Arial Narrow" w:hAnsi="Arial Narrow"/>
          <w:b/>
          <w:bCs/>
          <w:color w:val="C0C0C0"/>
          <w:sz w:val="80"/>
          <w:szCs w:val="80"/>
          <w:lang w:val="en-US"/>
        </w:rPr>
        <w:t xml:space="preserve"> release</w:t>
      </w:r>
    </w:p>
    <w:p w:rsidR="00295799" w:rsidRPr="00295799" w:rsidRDefault="001809DD" w:rsidP="00295799">
      <w:pPr>
        <w:rPr>
          <w:rFonts w:ascii="Arial" w:hAnsi="Arial" w:cs="Arial"/>
          <w:sz w:val="20"/>
          <w:lang w:val="en-GB"/>
        </w:rPr>
      </w:pPr>
      <w:r w:rsidRPr="00295799">
        <w:rPr>
          <w:rFonts w:ascii="Arial" w:hAnsi="Arial" w:cs="Arial"/>
          <w:noProof/>
          <w:sz w:val="20"/>
          <w:lang w:val="en-US"/>
        </w:rPr>
        <w:t>Vienna</w:t>
      </w:r>
      <w:r w:rsidR="0010188B" w:rsidRPr="00295799">
        <w:rPr>
          <w:rFonts w:ascii="Arial" w:hAnsi="Arial" w:cs="Arial"/>
          <w:noProof/>
          <w:sz w:val="20"/>
          <w:lang w:val="en-US"/>
        </w:rPr>
        <w:t xml:space="preserve">, </w:t>
      </w:r>
      <w:r w:rsidR="00295799" w:rsidRPr="00295799">
        <w:rPr>
          <w:rFonts w:ascii="Arial" w:hAnsi="Arial" w:cs="Arial"/>
          <w:sz w:val="20"/>
          <w:lang w:val="en-GB"/>
        </w:rPr>
        <w:t>21 June 2011</w:t>
      </w:r>
    </w:p>
    <w:p w:rsidR="00295799" w:rsidRPr="00295799" w:rsidRDefault="00295799" w:rsidP="00295799">
      <w:pPr>
        <w:pStyle w:val="NurText"/>
        <w:rPr>
          <w:rFonts w:ascii="Arial" w:hAnsi="Arial" w:cs="Arial"/>
          <w:b/>
          <w:lang w:val="en-GB"/>
        </w:rPr>
      </w:pPr>
    </w:p>
    <w:p w:rsidR="00295799" w:rsidRPr="00295799" w:rsidRDefault="00295799" w:rsidP="00295799">
      <w:pPr>
        <w:spacing w:line="280" w:lineRule="auto"/>
        <w:rPr>
          <w:rFonts w:ascii="Arial" w:hAnsi="Arial" w:cs="Arial"/>
          <w:sz w:val="20"/>
          <w:lang w:val="en-GB"/>
        </w:rPr>
      </w:pPr>
      <w:r w:rsidRPr="00295799">
        <w:rPr>
          <w:rFonts w:ascii="Arial" w:hAnsi="Arial" w:cs="Arial"/>
          <w:b/>
          <w:sz w:val="20"/>
          <w:lang w:val="en-GB"/>
        </w:rPr>
        <w:t>CMS European M&amp;A Study 2011: Change from Buyer’s to Seller’s Market for Deals</w:t>
      </w:r>
    </w:p>
    <w:p w:rsidR="00295799" w:rsidRPr="00295799" w:rsidRDefault="00295799" w:rsidP="00295799">
      <w:pPr>
        <w:spacing w:line="276" w:lineRule="auto"/>
        <w:rPr>
          <w:rFonts w:ascii="Arial" w:hAnsi="Arial" w:cs="Arial"/>
          <w:b/>
          <w:sz w:val="20"/>
          <w:lang w:val="en-GB"/>
        </w:rPr>
      </w:pPr>
    </w:p>
    <w:p w:rsidR="00295799" w:rsidRPr="00295799" w:rsidRDefault="00295799" w:rsidP="00295799">
      <w:pPr>
        <w:spacing w:line="280" w:lineRule="auto"/>
        <w:rPr>
          <w:rFonts w:ascii="Arial" w:hAnsi="Arial" w:cs="Arial"/>
          <w:sz w:val="20"/>
          <w:lang w:val="en-GB"/>
        </w:rPr>
      </w:pPr>
      <w:r w:rsidRPr="00295799">
        <w:rPr>
          <w:rFonts w:ascii="Arial" w:hAnsi="Arial" w:cs="Arial"/>
          <w:b/>
          <w:sz w:val="20"/>
          <w:lang w:val="en-GB"/>
        </w:rPr>
        <w:t>The European M&amp;A market is recovering and changing back from a buyer’s into a seller’s market. This is one of the core findings of the CMS European M&amp;A Study 2011. Even though the standards for risk allocation have not returned to 2007 levels, there are clear indications that increased competition contributes to an overall greater willingness of buyers to take risks. The Study is a</w:t>
      </w:r>
      <w:r w:rsidRPr="00295799">
        <w:rPr>
          <w:rFonts w:ascii="Arial" w:hAnsi="Arial" w:cs="Arial"/>
          <w:b/>
          <w:sz w:val="20"/>
          <w:lang w:val="en-GB"/>
        </w:rPr>
        <w:t>n</w:t>
      </w:r>
      <w:r w:rsidRPr="00295799">
        <w:rPr>
          <w:rFonts w:ascii="Arial" w:hAnsi="Arial" w:cs="Arial"/>
          <w:b/>
          <w:sz w:val="20"/>
          <w:lang w:val="en-GB"/>
        </w:rPr>
        <w:t>other chapter in the successful CMS European M&amp;A Studies series, which has seen volumes in 2009 and 2010.</w:t>
      </w:r>
    </w:p>
    <w:p w:rsidR="00295799" w:rsidRPr="00295799" w:rsidRDefault="00295799" w:rsidP="00295799">
      <w:pPr>
        <w:autoSpaceDE w:val="0"/>
        <w:autoSpaceDN w:val="0"/>
        <w:adjustRightInd w:val="0"/>
        <w:spacing w:line="276" w:lineRule="auto"/>
        <w:rPr>
          <w:rFonts w:ascii="Arial" w:hAnsi="Arial" w:cs="Arial"/>
          <w:sz w:val="20"/>
          <w:lang w:val="en-GB"/>
        </w:rPr>
      </w:pPr>
    </w:p>
    <w:p w:rsidR="00295799" w:rsidRPr="00295799" w:rsidRDefault="00295799" w:rsidP="00295799">
      <w:pPr>
        <w:autoSpaceDE w:val="0"/>
        <w:autoSpaceDN w:val="0"/>
        <w:adjustRightInd w:val="0"/>
        <w:spacing w:line="280" w:lineRule="auto"/>
        <w:rPr>
          <w:rFonts w:ascii="Arial" w:hAnsi="Arial" w:cs="Arial"/>
          <w:sz w:val="20"/>
          <w:lang w:val="en-GB"/>
        </w:rPr>
      </w:pPr>
      <w:r w:rsidRPr="00295799">
        <w:rPr>
          <w:rFonts w:ascii="Arial" w:hAnsi="Arial" w:cs="Arial"/>
          <w:sz w:val="20"/>
          <w:lang w:val="en-GB"/>
        </w:rPr>
        <w:t>“The increase in transaction numbers is the most conspicuous indication of the recovery of the M&amp;A ma</w:t>
      </w:r>
      <w:r w:rsidRPr="00295799">
        <w:rPr>
          <w:rFonts w:ascii="Arial" w:hAnsi="Arial" w:cs="Arial"/>
          <w:sz w:val="20"/>
          <w:lang w:val="en-GB"/>
        </w:rPr>
        <w:t>r</w:t>
      </w:r>
      <w:r w:rsidRPr="00295799">
        <w:rPr>
          <w:rFonts w:ascii="Arial" w:hAnsi="Arial" w:cs="Arial"/>
          <w:sz w:val="20"/>
          <w:lang w:val="en-GB"/>
        </w:rPr>
        <w:t>ket,” M&amp;A expert Peter Huber, partner and head of the transactions team at CMS Reich-</w:t>
      </w:r>
      <w:proofErr w:type="spellStart"/>
      <w:r w:rsidRPr="00295799">
        <w:rPr>
          <w:rFonts w:ascii="Arial" w:hAnsi="Arial" w:cs="Arial"/>
          <w:sz w:val="20"/>
          <w:lang w:val="en-GB"/>
        </w:rPr>
        <w:t>Rohrwig</w:t>
      </w:r>
      <w:proofErr w:type="spellEnd"/>
      <w:r w:rsidRPr="00295799">
        <w:rPr>
          <w:rFonts w:ascii="Arial" w:hAnsi="Arial" w:cs="Arial"/>
          <w:sz w:val="20"/>
          <w:lang w:val="en-GB"/>
        </w:rPr>
        <w:t xml:space="preserve"> Hainz, explains. “However, in the allocation of contract risks there are more and more signs that a balance has been reached and the market is developing towards a seller’s market.” He points to clear indications that company acquisitions and sales will continue to grow also in 2011.</w:t>
      </w:r>
    </w:p>
    <w:p w:rsidR="00295799" w:rsidRPr="00295799" w:rsidRDefault="00295799" w:rsidP="00295799">
      <w:pPr>
        <w:autoSpaceDE w:val="0"/>
        <w:autoSpaceDN w:val="0"/>
        <w:adjustRightInd w:val="0"/>
        <w:spacing w:line="276" w:lineRule="auto"/>
        <w:rPr>
          <w:rFonts w:ascii="Arial" w:hAnsi="Arial" w:cs="Arial"/>
          <w:sz w:val="20"/>
          <w:lang w:val="en-GB"/>
        </w:rPr>
      </w:pPr>
    </w:p>
    <w:p w:rsidR="00295799" w:rsidRPr="00295799" w:rsidRDefault="00295799" w:rsidP="00295799">
      <w:pPr>
        <w:autoSpaceDE w:val="0"/>
        <w:autoSpaceDN w:val="0"/>
        <w:adjustRightInd w:val="0"/>
        <w:spacing w:line="280" w:lineRule="auto"/>
        <w:rPr>
          <w:rFonts w:ascii="Arial" w:hAnsi="Arial" w:cs="Arial"/>
          <w:b/>
          <w:sz w:val="20"/>
          <w:lang w:val="en-GB"/>
        </w:rPr>
      </w:pPr>
      <w:r w:rsidRPr="00295799">
        <w:rPr>
          <w:rFonts w:ascii="Arial" w:hAnsi="Arial" w:cs="Arial"/>
          <w:b/>
          <w:sz w:val="20"/>
          <w:lang w:val="en-GB"/>
        </w:rPr>
        <w:t>Fewer Liability Caps, Shorter Limitation Periods</w:t>
      </w:r>
    </w:p>
    <w:p w:rsidR="00295799" w:rsidRPr="00295799" w:rsidRDefault="00295799" w:rsidP="00295799">
      <w:pPr>
        <w:autoSpaceDE w:val="0"/>
        <w:autoSpaceDN w:val="0"/>
        <w:adjustRightInd w:val="0"/>
        <w:rPr>
          <w:rFonts w:ascii="Arial" w:hAnsi="Arial" w:cs="Arial"/>
          <w:sz w:val="20"/>
          <w:lang w:val="en-GB"/>
        </w:rPr>
      </w:pPr>
      <w:r w:rsidRPr="00295799">
        <w:rPr>
          <w:rFonts w:ascii="Arial" w:hAnsi="Arial" w:cs="Arial"/>
          <w:noProof/>
          <w:sz w:val="20"/>
          <w:lang w:val="en-GB"/>
        </w:rPr>
        <w:t>2010 was a recovery year for M&amp;A. Much of the prior year was dominated by the market’s reaction to the financial crisis of 2008, leaving many buy-side players with a cautious approach to acquisitions.</w:t>
      </w:r>
      <w:r w:rsidRPr="00295799">
        <w:rPr>
          <w:rFonts w:ascii="Arial" w:hAnsi="Arial" w:cs="Arial"/>
          <w:sz w:val="20"/>
          <w:lang w:val="en-GB"/>
        </w:rPr>
        <w:t xml:space="preserve"> </w:t>
      </w:r>
      <w:r w:rsidRPr="00295799">
        <w:rPr>
          <w:rFonts w:ascii="Arial" w:hAnsi="Arial" w:cs="Arial"/>
          <w:noProof/>
          <w:sz w:val="20"/>
          <w:lang w:val="en-GB"/>
        </w:rPr>
        <w:t>There were many deals with an element of distress, motivated by anxious creditors or shareholders on the selling side.</w:t>
      </w:r>
      <w:r w:rsidRPr="00295799">
        <w:rPr>
          <w:rFonts w:ascii="Arial" w:hAnsi="Arial" w:cs="Arial"/>
          <w:sz w:val="20"/>
          <w:lang w:val="en-GB"/>
        </w:rPr>
        <w:t xml:space="preserve"> </w:t>
      </w:r>
      <w:r w:rsidRPr="00295799">
        <w:rPr>
          <w:rFonts w:ascii="Arial" w:hAnsi="Arial" w:cs="Arial"/>
          <w:noProof/>
          <w:sz w:val="20"/>
          <w:lang w:val="en-GB"/>
        </w:rPr>
        <w:t>Risk allocation became distorted due to the state of the market.</w:t>
      </w:r>
      <w:r w:rsidRPr="00295799">
        <w:rPr>
          <w:rFonts w:ascii="Arial" w:hAnsi="Arial" w:cs="Arial"/>
          <w:sz w:val="20"/>
          <w:lang w:val="en-GB"/>
        </w:rPr>
        <w:t xml:space="preserve"> </w:t>
      </w:r>
      <w:r w:rsidRPr="00295799">
        <w:rPr>
          <w:rFonts w:ascii="Arial" w:hAnsi="Arial" w:cs="Arial"/>
          <w:noProof/>
          <w:sz w:val="20"/>
          <w:lang w:val="en-GB"/>
        </w:rPr>
        <w:t>Buyers picked up some good bargains and it was plainly a buyer's  market.</w:t>
      </w:r>
    </w:p>
    <w:p w:rsidR="00295799" w:rsidRPr="00295799" w:rsidRDefault="00295799" w:rsidP="00295799">
      <w:pPr>
        <w:rPr>
          <w:rFonts w:ascii="Arial" w:hAnsi="Arial" w:cs="Arial"/>
          <w:sz w:val="20"/>
          <w:lang w:val="en-GB"/>
        </w:rPr>
      </w:pPr>
    </w:p>
    <w:p w:rsidR="00295799" w:rsidRPr="00295799" w:rsidRDefault="00295799" w:rsidP="00295799">
      <w:pPr>
        <w:autoSpaceDE w:val="0"/>
        <w:autoSpaceDN w:val="0"/>
        <w:adjustRightInd w:val="0"/>
        <w:rPr>
          <w:rFonts w:ascii="Arial" w:hAnsi="Arial" w:cs="Arial"/>
          <w:b/>
          <w:sz w:val="20"/>
          <w:lang w:val="en-GB"/>
        </w:rPr>
      </w:pPr>
      <w:r w:rsidRPr="00295799">
        <w:rPr>
          <w:rFonts w:ascii="Arial" w:hAnsi="Arial" w:cs="Arial"/>
          <w:b/>
          <w:noProof/>
          <w:sz w:val="20"/>
          <w:lang w:val="en-GB"/>
        </w:rPr>
        <w:t>The buyer's market during and immediately after the financial crisis was characterised by the following:</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2"/>
        </w:numPr>
        <w:autoSpaceDE w:val="0"/>
        <w:autoSpaceDN w:val="0"/>
        <w:adjustRightInd w:val="0"/>
        <w:rPr>
          <w:rFonts w:ascii="Arial" w:hAnsi="Arial" w:cs="Arial"/>
          <w:sz w:val="20"/>
          <w:szCs w:val="20"/>
          <w:lang w:val="en-GB"/>
        </w:rPr>
      </w:pPr>
      <w:r w:rsidRPr="00295799">
        <w:rPr>
          <w:rFonts w:ascii="Arial" w:hAnsi="Arial" w:cs="Arial"/>
          <w:noProof/>
          <w:sz w:val="20"/>
          <w:szCs w:val="20"/>
          <w:lang w:val="en-GB"/>
        </w:rPr>
        <w:t>The proportion of deals with high liability caps imposed on the seller rose.</w:t>
      </w:r>
    </w:p>
    <w:p w:rsidR="00295799" w:rsidRPr="00295799" w:rsidRDefault="00295799" w:rsidP="00295799">
      <w:pPr>
        <w:pStyle w:val="ListParagraph"/>
        <w:numPr>
          <w:ilvl w:val="0"/>
          <w:numId w:val="2"/>
        </w:numPr>
        <w:autoSpaceDE w:val="0"/>
        <w:autoSpaceDN w:val="0"/>
        <w:adjustRightInd w:val="0"/>
        <w:rPr>
          <w:rFonts w:ascii="Arial" w:hAnsi="Arial" w:cs="Arial"/>
          <w:sz w:val="20"/>
          <w:szCs w:val="20"/>
          <w:lang w:val="en-GB"/>
        </w:rPr>
      </w:pPr>
      <w:r w:rsidRPr="00295799">
        <w:rPr>
          <w:rFonts w:ascii="Arial" w:hAnsi="Arial" w:cs="Arial"/>
          <w:sz w:val="20"/>
          <w:szCs w:val="20"/>
          <w:lang w:val="en-GB"/>
        </w:rPr>
        <w:t>There was a high proportion of transactions with very short time limitation periods for general warranties and a high proportion with long warranty periods for general warra</w:t>
      </w:r>
      <w:r w:rsidRPr="00295799">
        <w:rPr>
          <w:rFonts w:ascii="Arial" w:hAnsi="Arial" w:cs="Arial"/>
          <w:sz w:val="20"/>
          <w:szCs w:val="20"/>
          <w:lang w:val="en-GB"/>
        </w:rPr>
        <w:t>n</w:t>
      </w:r>
      <w:r w:rsidRPr="00295799">
        <w:rPr>
          <w:rFonts w:ascii="Arial" w:hAnsi="Arial" w:cs="Arial"/>
          <w:sz w:val="20"/>
          <w:szCs w:val="20"/>
          <w:lang w:val="en-GB"/>
        </w:rPr>
        <w:t>ties.</w:t>
      </w:r>
    </w:p>
    <w:p w:rsidR="00295799" w:rsidRPr="00295799" w:rsidRDefault="00295799" w:rsidP="00295799">
      <w:pPr>
        <w:pStyle w:val="ListParagraph"/>
        <w:numPr>
          <w:ilvl w:val="0"/>
          <w:numId w:val="2"/>
        </w:numPr>
        <w:autoSpaceDE w:val="0"/>
        <w:autoSpaceDN w:val="0"/>
        <w:adjustRightInd w:val="0"/>
        <w:rPr>
          <w:rFonts w:ascii="Arial" w:hAnsi="Arial" w:cs="Arial"/>
          <w:sz w:val="20"/>
          <w:szCs w:val="20"/>
          <w:lang w:val="en-GB"/>
        </w:rPr>
      </w:pPr>
      <w:r w:rsidRPr="00295799">
        <w:rPr>
          <w:rFonts w:ascii="Arial" w:hAnsi="Arial" w:cs="Arial"/>
          <w:noProof/>
          <w:sz w:val="20"/>
          <w:szCs w:val="20"/>
          <w:lang w:val="en-GB"/>
        </w:rPr>
        <w:t>Earn-out deals were slightly more popular than in the past.</w:t>
      </w:r>
    </w:p>
    <w:p w:rsidR="00295799" w:rsidRPr="00295799" w:rsidRDefault="00295799" w:rsidP="00295799">
      <w:pPr>
        <w:pStyle w:val="ListParagraph"/>
        <w:numPr>
          <w:ilvl w:val="0"/>
          <w:numId w:val="2"/>
        </w:numPr>
        <w:autoSpaceDE w:val="0"/>
        <w:autoSpaceDN w:val="0"/>
        <w:adjustRightInd w:val="0"/>
        <w:rPr>
          <w:rFonts w:ascii="Arial" w:hAnsi="Arial" w:cs="Arial"/>
          <w:sz w:val="20"/>
          <w:szCs w:val="20"/>
          <w:lang w:val="en-GB"/>
        </w:rPr>
      </w:pPr>
      <w:r w:rsidRPr="00295799">
        <w:rPr>
          <w:rFonts w:ascii="Arial" w:hAnsi="Arial" w:cs="Arial"/>
          <w:noProof/>
          <w:sz w:val="20"/>
          <w:szCs w:val="20"/>
          <w:lang w:val="en-GB"/>
        </w:rPr>
        <w:t>Price adjustment clauses linked to working capital were more often required by buyers.</w:t>
      </w:r>
      <w:r w:rsidRPr="00295799">
        <w:rPr>
          <w:rFonts w:ascii="Arial" w:hAnsi="Arial" w:cs="Arial"/>
          <w:sz w:val="20"/>
          <w:szCs w:val="20"/>
          <w:lang w:val="en-GB"/>
        </w:rPr>
        <w:t xml:space="preserve"> </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autoSpaceDE w:val="0"/>
        <w:autoSpaceDN w:val="0"/>
        <w:adjustRightInd w:val="0"/>
        <w:rPr>
          <w:rFonts w:ascii="Arial" w:hAnsi="Arial" w:cs="Arial"/>
          <w:b/>
          <w:sz w:val="20"/>
          <w:lang w:val="en-GB"/>
        </w:rPr>
      </w:pPr>
      <w:r w:rsidRPr="00295799">
        <w:rPr>
          <w:rFonts w:ascii="Arial" w:hAnsi="Arial" w:cs="Arial"/>
          <w:b/>
          <w:noProof/>
          <w:sz w:val="20"/>
          <w:lang w:val="en-GB"/>
        </w:rPr>
        <w:t>In contrast, the current survey by the M&amp;A experts identified the following trends:</w:t>
      </w:r>
    </w:p>
    <w:p w:rsidR="00295799" w:rsidRPr="00295799" w:rsidRDefault="00295799" w:rsidP="00295799">
      <w:pPr>
        <w:pStyle w:val="ListParagraph"/>
        <w:numPr>
          <w:ilvl w:val="0"/>
          <w:numId w:val="3"/>
        </w:numPr>
        <w:autoSpaceDE w:val="0"/>
        <w:autoSpaceDN w:val="0"/>
        <w:adjustRightInd w:val="0"/>
        <w:rPr>
          <w:rFonts w:ascii="Arial" w:hAnsi="Arial" w:cs="Arial"/>
          <w:sz w:val="20"/>
          <w:szCs w:val="20"/>
          <w:lang w:val="en-GB"/>
        </w:rPr>
      </w:pPr>
      <w:r w:rsidRPr="00295799">
        <w:rPr>
          <w:rFonts w:ascii="Arial" w:hAnsi="Arial" w:cs="Arial"/>
          <w:noProof/>
          <w:sz w:val="20"/>
          <w:szCs w:val="20"/>
          <w:lang w:val="en-GB"/>
        </w:rPr>
        <w:t>The proportion of deals with high liability caps is falling.</w:t>
      </w:r>
    </w:p>
    <w:p w:rsidR="00295799" w:rsidRPr="00295799" w:rsidRDefault="00295799" w:rsidP="00295799">
      <w:pPr>
        <w:pStyle w:val="ListParagraph"/>
        <w:numPr>
          <w:ilvl w:val="0"/>
          <w:numId w:val="3"/>
        </w:numPr>
        <w:autoSpaceDE w:val="0"/>
        <w:autoSpaceDN w:val="0"/>
        <w:adjustRightInd w:val="0"/>
        <w:rPr>
          <w:rFonts w:ascii="Arial" w:hAnsi="Arial" w:cs="Arial"/>
          <w:sz w:val="20"/>
          <w:szCs w:val="20"/>
          <w:lang w:val="en-GB"/>
        </w:rPr>
      </w:pPr>
      <w:r w:rsidRPr="00295799">
        <w:rPr>
          <w:rFonts w:ascii="Arial" w:hAnsi="Arial" w:cs="Arial"/>
          <w:noProof/>
          <w:sz w:val="20"/>
          <w:szCs w:val="20"/>
          <w:lang w:val="en-GB"/>
        </w:rPr>
        <w:t>Limitation periods for general warranties are getting shorter.</w:t>
      </w:r>
    </w:p>
    <w:p w:rsidR="00295799" w:rsidRPr="00295799" w:rsidRDefault="00295799" w:rsidP="00295799">
      <w:pPr>
        <w:pStyle w:val="ListParagraph"/>
        <w:numPr>
          <w:ilvl w:val="0"/>
          <w:numId w:val="3"/>
        </w:numPr>
        <w:autoSpaceDE w:val="0"/>
        <w:autoSpaceDN w:val="0"/>
        <w:adjustRightInd w:val="0"/>
        <w:rPr>
          <w:rFonts w:ascii="Arial" w:hAnsi="Arial" w:cs="Arial"/>
          <w:sz w:val="20"/>
          <w:szCs w:val="20"/>
          <w:lang w:val="en-GB"/>
        </w:rPr>
      </w:pPr>
      <w:r w:rsidRPr="00295799">
        <w:rPr>
          <w:rFonts w:ascii="Arial" w:hAnsi="Arial" w:cs="Arial"/>
          <w:noProof/>
          <w:sz w:val="20"/>
          <w:szCs w:val="20"/>
          <w:lang w:val="en-GB"/>
        </w:rPr>
        <w:t>The return to action of financial investors in 2010 has also quickened the pace of the M&amp;A market.</w:t>
      </w:r>
    </w:p>
    <w:p w:rsidR="00295799" w:rsidRPr="00295799" w:rsidRDefault="00295799" w:rsidP="00295799">
      <w:pPr>
        <w:autoSpaceDE w:val="0"/>
        <w:autoSpaceDN w:val="0"/>
        <w:adjustRightInd w:val="0"/>
        <w:rPr>
          <w:rFonts w:ascii="Arial" w:hAnsi="Arial" w:cs="Arial"/>
          <w:b/>
          <w:sz w:val="20"/>
          <w:lang w:val="en-GB"/>
        </w:rPr>
      </w:pPr>
    </w:p>
    <w:p w:rsidR="00295799" w:rsidRPr="00295799" w:rsidRDefault="00295799" w:rsidP="00295799">
      <w:pPr>
        <w:autoSpaceDE w:val="0"/>
        <w:autoSpaceDN w:val="0"/>
        <w:adjustRightInd w:val="0"/>
        <w:rPr>
          <w:rFonts w:ascii="Arial" w:hAnsi="Arial" w:cs="Arial"/>
          <w:b/>
          <w:sz w:val="20"/>
          <w:lang w:val="en-GB"/>
        </w:rPr>
      </w:pPr>
      <w:r w:rsidRPr="00295799">
        <w:rPr>
          <w:rFonts w:ascii="Arial" w:hAnsi="Arial" w:cs="Arial"/>
          <w:b/>
          <w:noProof/>
          <w:sz w:val="20"/>
          <w:lang w:val="en-GB"/>
        </w:rPr>
        <w:t>Overview of key conclusions of the CMS European M&amp;A Study 2011:</w:t>
      </w:r>
    </w:p>
    <w:p w:rsidR="00295799" w:rsidRPr="00295799" w:rsidRDefault="00295799" w:rsidP="00295799">
      <w:pPr>
        <w:pStyle w:val="ListParagraph"/>
        <w:numPr>
          <w:ilvl w:val="0"/>
          <w:numId w:val="4"/>
        </w:numPr>
        <w:autoSpaceDE w:val="0"/>
        <w:autoSpaceDN w:val="0"/>
        <w:adjustRightInd w:val="0"/>
        <w:rPr>
          <w:rFonts w:ascii="Arial" w:hAnsi="Arial" w:cs="Arial"/>
          <w:sz w:val="20"/>
          <w:szCs w:val="20"/>
          <w:lang w:val="en-GB"/>
        </w:rPr>
      </w:pPr>
      <w:r w:rsidRPr="00295799">
        <w:rPr>
          <w:rFonts w:ascii="Arial" w:hAnsi="Arial" w:cs="Arial"/>
          <w:b/>
          <w:noProof/>
          <w:sz w:val="20"/>
          <w:szCs w:val="20"/>
          <w:lang w:val="en-GB"/>
        </w:rPr>
        <w:t>Purchase price adjustments</w:t>
      </w:r>
      <w:r w:rsidRPr="00295799">
        <w:rPr>
          <w:rFonts w:ascii="Arial" w:hAnsi="Arial" w:cs="Arial"/>
          <w:noProof/>
          <w:sz w:val="20"/>
          <w:szCs w:val="20"/>
          <w:lang w:val="en-GB"/>
        </w:rPr>
        <w:t xml:space="preserve"> – there were fewer purchase price adjustment clauses in 2010, 35% compared with 48% in 2009.</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4"/>
        </w:numPr>
        <w:autoSpaceDE w:val="0"/>
        <w:autoSpaceDN w:val="0"/>
        <w:adjustRightInd w:val="0"/>
        <w:rPr>
          <w:rFonts w:ascii="Arial" w:hAnsi="Arial" w:cs="Arial"/>
          <w:sz w:val="20"/>
          <w:szCs w:val="20"/>
          <w:lang w:val="en-GB"/>
        </w:rPr>
      </w:pPr>
      <w:r w:rsidRPr="00295799">
        <w:rPr>
          <w:rFonts w:ascii="Arial" w:hAnsi="Arial" w:cs="Arial"/>
          <w:b/>
          <w:noProof/>
          <w:sz w:val="20"/>
          <w:szCs w:val="20"/>
          <w:lang w:val="en-GB"/>
        </w:rPr>
        <w:t>Locked box mechanisms</w:t>
      </w:r>
      <w:r w:rsidRPr="00295799">
        <w:rPr>
          <w:rFonts w:ascii="Arial" w:hAnsi="Arial" w:cs="Arial"/>
          <w:noProof/>
          <w:sz w:val="20"/>
          <w:szCs w:val="20"/>
          <w:lang w:val="en-GB"/>
        </w:rPr>
        <w:t xml:space="preserve"> – the greater activity of financial sellers heralded much greater use of locked box mechanisms in Continental Europe, particularly in the German-speaking countries.</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4"/>
        </w:numPr>
        <w:autoSpaceDE w:val="0"/>
        <w:autoSpaceDN w:val="0"/>
        <w:adjustRightInd w:val="0"/>
        <w:rPr>
          <w:rFonts w:ascii="Arial" w:hAnsi="Arial" w:cs="Arial"/>
          <w:sz w:val="20"/>
          <w:szCs w:val="20"/>
          <w:lang w:val="en-GB"/>
        </w:rPr>
      </w:pPr>
      <w:r w:rsidRPr="00295799">
        <w:rPr>
          <w:rFonts w:ascii="Arial" w:hAnsi="Arial" w:cs="Arial"/>
          <w:b/>
          <w:noProof/>
          <w:sz w:val="20"/>
          <w:szCs w:val="20"/>
          <w:lang w:val="en-GB"/>
        </w:rPr>
        <w:t>Earn-outs</w:t>
      </w:r>
      <w:r w:rsidRPr="00295799">
        <w:rPr>
          <w:rFonts w:ascii="Arial" w:hAnsi="Arial" w:cs="Arial"/>
          <w:noProof/>
          <w:sz w:val="20"/>
          <w:szCs w:val="20"/>
          <w:lang w:val="en-GB"/>
        </w:rPr>
        <w:t xml:space="preserve"> – earn-out periods became shorter, as demonstrated by 65% of such earn-outs being payable within 24 months, compared with 51% in 2009.</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4"/>
        </w:numPr>
        <w:autoSpaceDE w:val="0"/>
        <w:autoSpaceDN w:val="0"/>
        <w:adjustRightInd w:val="0"/>
        <w:rPr>
          <w:rFonts w:ascii="Arial" w:hAnsi="Arial" w:cs="Arial"/>
          <w:sz w:val="20"/>
          <w:szCs w:val="20"/>
          <w:lang w:val="en-GB"/>
        </w:rPr>
      </w:pPr>
      <w:r w:rsidRPr="00295799">
        <w:rPr>
          <w:rFonts w:ascii="Arial" w:hAnsi="Arial" w:cs="Arial"/>
          <w:b/>
          <w:noProof/>
          <w:sz w:val="20"/>
          <w:szCs w:val="20"/>
          <w:lang w:val="en-GB"/>
        </w:rPr>
        <w:t>Timing of warranties</w:t>
      </w:r>
      <w:r w:rsidRPr="00295799">
        <w:rPr>
          <w:rFonts w:ascii="Arial" w:hAnsi="Arial" w:cs="Arial"/>
          <w:noProof/>
          <w:sz w:val="20"/>
          <w:szCs w:val="20"/>
          <w:lang w:val="en-GB"/>
        </w:rPr>
        <w:t xml:space="preserve"> – a higher percentage of deals featured repetition of all warranties on closing, 67% compared with 60%.</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4"/>
        </w:numPr>
        <w:autoSpaceDE w:val="0"/>
        <w:autoSpaceDN w:val="0"/>
        <w:adjustRightInd w:val="0"/>
        <w:rPr>
          <w:rFonts w:ascii="Arial" w:hAnsi="Arial" w:cs="Arial"/>
          <w:sz w:val="20"/>
          <w:szCs w:val="20"/>
          <w:lang w:val="en-GB"/>
        </w:rPr>
      </w:pPr>
      <w:r w:rsidRPr="00295799">
        <w:rPr>
          <w:rFonts w:ascii="Arial" w:hAnsi="Arial" w:cs="Arial"/>
          <w:b/>
          <w:noProof/>
          <w:sz w:val="20"/>
          <w:szCs w:val="20"/>
          <w:lang w:val="en-GB"/>
        </w:rPr>
        <w:t>De minimis and baskets</w:t>
      </w:r>
      <w:r w:rsidRPr="00295799">
        <w:rPr>
          <w:rFonts w:ascii="Arial" w:hAnsi="Arial" w:cs="Arial"/>
          <w:noProof/>
          <w:sz w:val="20"/>
          <w:szCs w:val="20"/>
          <w:lang w:val="en-GB"/>
        </w:rPr>
        <w:t xml:space="preserve"> – slightly fewer deals had de minimis provisions.</w:t>
      </w:r>
      <w:r w:rsidRPr="00295799">
        <w:rPr>
          <w:rFonts w:ascii="Arial" w:hAnsi="Arial" w:cs="Arial"/>
          <w:sz w:val="20"/>
          <w:szCs w:val="20"/>
          <w:lang w:val="en-GB"/>
        </w:rPr>
        <w:t xml:space="preserve"> </w:t>
      </w:r>
      <w:r w:rsidRPr="00295799">
        <w:rPr>
          <w:rFonts w:ascii="Arial" w:hAnsi="Arial" w:cs="Arial"/>
          <w:noProof/>
          <w:sz w:val="20"/>
          <w:szCs w:val="20"/>
          <w:lang w:val="en-GB"/>
        </w:rPr>
        <w:t>More deals had basket threshold provisions and still more deals featured recovery on an "excess only" basis, revealing perhaps a gradual movement towards US deal norms.</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4"/>
        </w:numPr>
        <w:autoSpaceDE w:val="0"/>
        <w:autoSpaceDN w:val="0"/>
        <w:adjustRightInd w:val="0"/>
        <w:rPr>
          <w:rFonts w:ascii="Arial" w:hAnsi="Arial" w:cs="Arial"/>
          <w:sz w:val="20"/>
          <w:szCs w:val="20"/>
          <w:lang w:val="en-GB"/>
        </w:rPr>
      </w:pPr>
      <w:r w:rsidRPr="00295799">
        <w:rPr>
          <w:rFonts w:ascii="Arial" w:hAnsi="Arial" w:cs="Arial"/>
          <w:b/>
          <w:noProof/>
          <w:sz w:val="20"/>
          <w:szCs w:val="20"/>
          <w:lang w:val="en-GB"/>
        </w:rPr>
        <w:t>Liability caps</w:t>
      </w:r>
      <w:r w:rsidRPr="00295799">
        <w:rPr>
          <w:rFonts w:ascii="Arial" w:hAnsi="Arial" w:cs="Arial"/>
          <w:noProof/>
          <w:sz w:val="20"/>
          <w:szCs w:val="20"/>
          <w:lang w:val="en-GB"/>
        </w:rPr>
        <w:t xml:space="preserve"> – the proportion of transactions where the liability cap imposed on the seller for warranty breaches exceeded 50% of the purchase price has declined when measured against the peak of the last two quarters of 2009.</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4"/>
        </w:numPr>
        <w:autoSpaceDE w:val="0"/>
        <w:autoSpaceDN w:val="0"/>
        <w:adjustRightInd w:val="0"/>
        <w:rPr>
          <w:rFonts w:ascii="Arial" w:hAnsi="Arial" w:cs="Arial"/>
          <w:sz w:val="20"/>
          <w:szCs w:val="20"/>
          <w:lang w:val="en-GB"/>
        </w:rPr>
      </w:pPr>
      <w:r w:rsidRPr="00295799">
        <w:rPr>
          <w:rFonts w:ascii="Arial" w:hAnsi="Arial" w:cs="Arial"/>
          <w:b/>
          <w:noProof/>
          <w:sz w:val="20"/>
          <w:szCs w:val="20"/>
          <w:lang w:val="en-GB"/>
        </w:rPr>
        <w:t>Limitation periods</w:t>
      </w:r>
      <w:r w:rsidRPr="00295799">
        <w:rPr>
          <w:rFonts w:ascii="Arial" w:hAnsi="Arial" w:cs="Arial"/>
          <w:noProof/>
          <w:sz w:val="20"/>
          <w:szCs w:val="20"/>
          <w:lang w:val="en-GB"/>
        </w:rPr>
        <w:t xml:space="preserve"> – the proportion of deals with general warranty limitation periods exceeding 24 months has generally flatlined at around 27% since its peak in the second quarter of 2009, and declined notably in the last quarter of 2010.</w:t>
      </w:r>
    </w:p>
    <w:p w:rsidR="00295799" w:rsidRPr="00295799" w:rsidRDefault="00295799" w:rsidP="00295799">
      <w:pPr>
        <w:autoSpaceDE w:val="0"/>
        <w:autoSpaceDN w:val="0"/>
        <w:adjustRightInd w:val="0"/>
        <w:rPr>
          <w:rFonts w:ascii="Arial" w:hAnsi="Arial" w:cs="Arial"/>
          <w:sz w:val="20"/>
          <w:lang w:val="en-GB"/>
        </w:rPr>
      </w:pPr>
    </w:p>
    <w:p w:rsidR="00295799" w:rsidRPr="00295799" w:rsidRDefault="00295799" w:rsidP="00295799">
      <w:pPr>
        <w:pStyle w:val="ListParagraph"/>
        <w:numPr>
          <w:ilvl w:val="0"/>
          <w:numId w:val="4"/>
        </w:numPr>
        <w:autoSpaceDE w:val="0"/>
        <w:autoSpaceDN w:val="0"/>
        <w:adjustRightInd w:val="0"/>
        <w:spacing w:line="276" w:lineRule="auto"/>
        <w:rPr>
          <w:rFonts w:ascii="Arial" w:hAnsi="Arial" w:cs="Arial"/>
          <w:sz w:val="20"/>
          <w:szCs w:val="20"/>
          <w:lang w:val="en-GB"/>
        </w:rPr>
      </w:pPr>
      <w:r w:rsidRPr="00295799">
        <w:rPr>
          <w:rFonts w:ascii="Arial" w:hAnsi="Arial" w:cs="Arial"/>
          <w:b/>
          <w:noProof/>
          <w:sz w:val="20"/>
          <w:szCs w:val="20"/>
          <w:lang w:val="en-GB"/>
        </w:rPr>
        <w:t>Arbitration</w:t>
      </w:r>
      <w:r w:rsidRPr="00295799">
        <w:rPr>
          <w:rFonts w:ascii="Arial" w:hAnsi="Arial" w:cs="Arial"/>
          <w:noProof/>
          <w:sz w:val="20"/>
          <w:szCs w:val="20"/>
          <w:lang w:val="en-GB"/>
        </w:rPr>
        <w:t xml:space="preserve"> – there has been a decline in the use of arbitration as the dispute resolution mechanism instead of public courts, with just 32% of 2010 deals featuring an arbitration clause as against 40% in 2009.</w:t>
      </w:r>
    </w:p>
    <w:p w:rsidR="00295799" w:rsidRPr="00295799" w:rsidRDefault="00295799" w:rsidP="00295799">
      <w:pPr>
        <w:spacing w:line="276" w:lineRule="auto"/>
        <w:rPr>
          <w:rFonts w:ascii="Arial" w:hAnsi="Arial" w:cs="Arial"/>
          <w:b/>
          <w:sz w:val="20"/>
          <w:lang w:val="en-GB"/>
        </w:rPr>
      </w:pPr>
    </w:p>
    <w:p w:rsidR="00295799" w:rsidRPr="00295799" w:rsidRDefault="00295799" w:rsidP="00295799">
      <w:pPr>
        <w:spacing w:line="280" w:lineRule="auto"/>
        <w:rPr>
          <w:rFonts w:ascii="Arial" w:hAnsi="Arial" w:cs="Arial"/>
          <w:b/>
          <w:sz w:val="20"/>
          <w:lang w:val="en-GB"/>
        </w:rPr>
      </w:pPr>
      <w:r w:rsidRPr="00295799">
        <w:rPr>
          <w:rFonts w:ascii="Arial" w:hAnsi="Arial" w:cs="Arial"/>
          <w:b/>
          <w:sz w:val="20"/>
          <w:lang w:val="en-GB"/>
        </w:rPr>
        <w:t>Marked Differences among Markets, Especially between Europe and the USA</w:t>
      </w:r>
    </w:p>
    <w:p w:rsidR="00295799" w:rsidRPr="00295799" w:rsidRDefault="00295799" w:rsidP="00295799">
      <w:pPr>
        <w:spacing w:line="280" w:lineRule="auto"/>
        <w:rPr>
          <w:rFonts w:ascii="Arial" w:hAnsi="Arial" w:cs="Arial"/>
          <w:sz w:val="20"/>
          <w:lang w:val="en-GB"/>
        </w:rPr>
      </w:pPr>
      <w:r w:rsidRPr="00295799">
        <w:rPr>
          <w:rFonts w:ascii="Arial" w:hAnsi="Arial" w:cs="Arial"/>
          <w:noProof/>
          <w:sz w:val="20"/>
          <w:lang w:val="en-GB"/>
        </w:rPr>
        <w:t>While these observations seem to signal an overall trend toward seller-friendly provisions in Europe generally, there are significant regional differences highlighted by the Study.</w:t>
      </w:r>
      <w:r w:rsidRPr="00295799">
        <w:rPr>
          <w:rFonts w:ascii="Arial" w:hAnsi="Arial" w:cs="Arial"/>
          <w:sz w:val="20"/>
          <w:lang w:val="en-GB"/>
        </w:rPr>
        <w:t xml:space="preserve">  In German-speaking cou</w:t>
      </w:r>
      <w:r w:rsidRPr="00295799">
        <w:rPr>
          <w:rFonts w:ascii="Arial" w:hAnsi="Arial" w:cs="Arial"/>
          <w:sz w:val="20"/>
          <w:lang w:val="en-GB"/>
        </w:rPr>
        <w:t>n</w:t>
      </w:r>
      <w:r w:rsidRPr="00295799">
        <w:rPr>
          <w:rFonts w:ascii="Arial" w:hAnsi="Arial" w:cs="Arial"/>
          <w:sz w:val="20"/>
          <w:lang w:val="en-GB"/>
        </w:rPr>
        <w:t>tries, there was a notable increase of liability caps and decrease in liability caps of more than 50% of the purchase price, which is a return to the average of the three-year period between 2007-2009. Escrow accounts were more frequently used as a security for wa</w:t>
      </w:r>
      <w:r w:rsidRPr="00295799">
        <w:rPr>
          <w:rFonts w:ascii="Arial" w:hAnsi="Arial" w:cs="Arial"/>
          <w:sz w:val="20"/>
          <w:lang w:val="en-GB"/>
        </w:rPr>
        <w:t>r</w:t>
      </w:r>
      <w:r w:rsidRPr="00295799">
        <w:rPr>
          <w:rFonts w:ascii="Arial" w:hAnsi="Arial" w:cs="Arial"/>
          <w:sz w:val="20"/>
          <w:lang w:val="en-GB"/>
        </w:rPr>
        <w:t>ranty claims and cartel clearances were the most likely pre-condition to closing.</w:t>
      </w:r>
    </w:p>
    <w:p w:rsidR="00295799" w:rsidRPr="00295799" w:rsidRDefault="00295799" w:rsidP="00295799">
      <w:pPr>
        <w:spacing w:line="276" w:lineRule="auto"/>
        <w:rPr>
          <w:rFonts w:ascii="Arial" w:hAnsi="Arial" w:cs="Arial"/>
          <w:sz w:val="20"/>
          <w:lang w:val="en-GB"/>
        </w:rPr>
      </w:pPr>
    </w:p>
    <w:p w:rsidR="00295799" w:rsidRPr="00295799" w:rsidRDefault="00295799" w:rsidP="00295799">
      <w:pPr>
        <w:spacing w:line="276" w:lineRule="auto"/>
        <w:rPr>
          <w:rFonts w:ascii="Arial" w:hAnsi="Arial" w:cs="Arial"/>
          <w:sz w:val="20"/>
          <w:lang w:val="en-GB"/>
        </w:rPr>
      </w:pPr>
      <w:r w:rsidRPr="00295799">
        <w:rPr>
          <w:rFonts w:ascii="Arial" w:hAnsi="Arial" w:cs="Arial"/>
          <w:noProof/>
          <w:sz w:val="20"/>
          <w:lang w:val="en-GB"/>
        </w:rPr>
        <w:t>In Central and Eastern Europe (CEE), earn-out deals were rare (only 8%) and non-compete clauses are much rarer when compared to elsewhere in Europe.</w:t>
      </w:r>
      <w:r w:rsidRPr="00295799">
        <w:rPr>
          <w:rFonts w:ascii="Arial" w:hAnsi="Arial" w:cs="Arial"/>
          <w:sz w:val="20"/>
          <w:lang w:val="en-GB"/>
        </w:rPr>
        <w:t xml:space="preserve"> </w:t>
      </w:r>
      <w:r w:rsidRPr="00295799">
        <w:rPr>
          <w:rFonts w:ascii="Arial" w:hAnsi="Arial" w:cs="Arial"/>
          <w:noProof/>
          <w:sz w:val="20"/>
          <w:lang w:val="en-GB"/>
        </w:rPr>
        <w:t>Arbitration is also the main dispute resolution process – 76% compared with the European norm of 33% in 2010.</w:t>
      </w:r>
    </w:p>
    <w:p w:rsidR="00295799" w:rsidRPr="00295799" w:rsidRDefault="00295799" w:rsidP="00295799">
      <w:pPr>
        <w:spacing w:line="276" w:lineRule="auto"/>
        <w:rPr>
          <w:rFonts w:ascii="Arial" w:hAnsi="Arial" w:cs="Arial"/>
          <w:sz w:val="20"/>
          <w:lang w:val="en-GB"/>
        </w:rPr>
      </w:pPr>
    </w:p>
    <w:p w:rsidR="00295799" w:rsidRPr="00295799" w:rsidRDefault="00295799" w:rsidP="00295799">
      <w:pPr>
        <w:rPr>
          <w:rFonts w:ascii="Arial" w:hAnsi="Arial" w:cs="Arial"/>
          <w:sz w:val="20"/>
          <w:lang w:val="en-GB"/>
        </w:rPr>
      </w:pPr>
      <w:r w:rsidRPr="00295799">
        <w:rPr>
          <w:rFonts w:ascii="Arial" w:hAnsi="Arial" w:cs="Arial"/>
          <w:noProof/>
          <w:sz w:val="20"/>
          <w:lang w:val="en-GB"/>
        </w:rPr>
        <w:t>The Study also highlights significant cultural and regulatory differences between Europe and the United States.</w:t>
      </w:r>
      <w:r w:rsidRPr="00295799">
        <w:rPr>
          <w:rFonts w:ascii="Arial" w:hAnsi="Arial" w:cs="Arial"/>
          <w:sz w:val="20"/>
          <w:lang w:val="en-GB"/>
        </w:rPr>
        <w:t xml:space="preserve"> </w:t>
      </w:r>
      <w:r w:rsidRPr="00295799">
        <w:rPr>
          <w:rFonts w:ascii="Arial" w:hAnsi="Arial" w:cs="Arial"/>
          <w:noProof/>
          <w:sz w:val="20"/>
          <w:lang w:val="en-GB"/>
        </w:rPr>
        <w:t>Chiefly, the comparison shows material adverse change (MAC) clauses are used in 80% of deals in the US compared with just 16% of deals in Europe.</w:t>
      </w:r>
      <w:r w:rsidRPr="00295799">
        <w:rPr>
          <w:rFonts w:ascii="Arial" w:hAnsi="Arial" w:cs="Arial"/>
          <w:sz w:val="20"/>
          <w:lang w:val="en-GB"/>
        </w:rPr>
        <w:t xml:space="preserve"> </w:t>
      </w:r>
      <w:r w:rsidRPr="00295799">
        <w:rPr>
          <w:rFonts w:ascii="Arial" w:hAnsi="Arial" w:cs="Arial"/>
          <w:noProof/>
          <w:sz w:val="20"/>
          <w:lang w:val="en-GB"/>
        </w:rPr>
        <w:t>Basket thresholds for warranty claims are much more prevalent in the US, and the basis of recovery differs.</w:t>
      </w:r>
      <w:r w:rsidRPr="00295799">
        <w:rPr>
          <w:rFonts w:ascii="Arial" w:hAnsi="Arial" w:cs="Arial"/>
          <w:sz w:val="20"/>
          <w:lang w:val="en-GB"/>
        </w:rPr>
        <w:t xml:space="preserve"> </w:t>
      </w:r>
      <w:r w:rsidRPr="00295799">
        <w:rPr>
          <w:rFonts w:ascii="Arial" w:hAnsi="Arial" w:cs="Arial"/>
          <w:noProof/>
          <w:sz w:val="20"/>
          <w:lang w:val="en-GB"/>
        </w:rPr>
        <w:t>Working capital adjustments continue to be by far the most frequently used criteria for purchase price adjustments in the US, and basket thresholds tend to be lower in the US with 89% being less than 1% of the purchase price compared with 49% in Europe.</w:t>
      </w:r>
    </w:p>
    <w:p w:rsidR="00295799" w:rsidRPr="00295799" w:rsidRDefault="00295799" w:rsidP="00295799">
      <w:pPr>
        <w:spacing w:line="276" w:lineRule="auto"/>
        <w:rPr>
          <w:rFonts w:ascii="Arial" w:hAnsi="Arial" w:cs="Arial"/>
          <w:sz w:val="20"/>
          <w:lang w:val="en-GB"/>
        </w:rPr>
      </w:pPr>
    </w:p>
    <w:p w:rsidR="00295799" w:rsidRPr="00295799" w:rsidRDefault="00295799" w:rsidP="00295799">
      <w:pPr>
        <w:spacing w:line="280" w:lineRule="auto"/>
        <w:rPr>
          <w:rFonts w:ascii="Arial" w:hAnsi="Arial" w:cs="Arial"/>
          <w:sz w:val="20"/>
          <w:lang w:val="en-GB"/>
        </w:rPr>
      </w:pPr>
      <w:r w:rsidRPr="00295799">
        <w:rPr>
          <w:rFonts w:ascii="Arial" w:hAnsi="Arial" w:cs="Arial"/>
          <w:sz w:val="20"/>
          <w:lang w:val="en-GB"/>
        </w:rPr>
        <w:t>Peter Huber comments, “The differences in local and regional market practices revealed by the Study show how important it is for foreign investors to be able to rely on the local expertise of experienced adv</w:t>
      </w:r>
      <w:r w:rsidRPr="00295799">
        <w:rPr>
          <w:rFonts w:ascii="Arial" w:hAnsi="Arial" w:cs="Arial"/>
          <w:sz w:val="20"/>
          <w:lang w:val="en-GB"/>
        </w:rPr>
        <w:t>i</w:t>
      </w:r>
      <w:r w:rsidRPr="00295799">
        <w:rPr>
          <w:rFonts w:ascii="Arial" w:hAnsi="Arial" w:cs="Arial"/>
          <w:sz w:val="20"/>
          <w:lang w:val="en-GB"/>
        </w:rPr>
        <w:t>sors.”</w:t>
      </w:r>
    </w:p>
    <w:p w:rsidR="00295799" w:rsidRPr="00295799" w:rsidRDefault="00295799" w:rsidP="00295799">
      <w:pPr>
        <w:spacing w:line="276" w:lineRule="auto"/>
        <w:rPr>
          <w:rFonts w:ascii="Arial" w:hAnsi="Arial" w:cs="Arial"/>
          <w:b/>
          <w:sz w:val="20"/>
          <w:lang w:val="en-GB"/>
        </w:rPr>
      </w:pPr>
    </w:p>
    <w:p w:rsidR="00295799" w:rsidRPr="00295799" w:rsidRDefault="00295799" w:rsidP="00295799">
      <w:pPr>
        <w:spacing w:line="280" w:lineRule="auto"/>
        <w:rPr>
          <w:rFonts w:ascii="Arial" w:hAnsi="Arial" w:cs="Arial"/>
          <w:b/>
          <w:sz w:val="20"/>
          <w:lang w:val="en-GB"/>
        </w:rPr>
      </w:pPr>
      <w:r w:rsidRPr="00295799">
        <w:rPr>
          <w:rFonts w:ascii="Arial" w:hAnsi="Arial" w:cs="Arial"/>
          <w:b/>
          <w:sz w:val="20"/>
          <w:lang w:val="en-GB"/>
        </w:rPr>
        <w:t>Methodology of the Study</w:t>
      </w:r>
    </w:p>
    <w:p w:rsidR="00295799" w:rsidRPr="00295799" w:rsidRDefault="00295799" w:rsidP="00295799">
      <w:pPr>
        <w:spacing w:line="280" w:lineRule="auto"/>
        <w:rPr>
          <w:rFonts w:ascii="Arial" w:hAnsi="Arial" w:cs="Arial"/>
          <w:sz w:val="20"/>
          <w:lang w:val="en-GB"/>
        </w:rPr>
      </w:pPr>
      <w:r w:rsidRPr="00295799">
        <w:rPr>
          <w:rFonts w:ascii="Arial" w:hAnsi="Arial" w:cs="Arial"/>
          <w:sz w:val="20"/>
          <w:lang w:val="en-GB"/>
        </w:rPr>
        <w:t>The CMS European M&amp;A Study 2011 is based on a thorough analysis of 1,000 transactions concluded between 2007 and 2010, roughly 300 of which stem from 2010. The data used in the Study are not pu</w:t>
      </w:r>
      <w:r w:rsidRPr="00295799">
        <w:rPr>
          <w:rFonts w:ascii="Arial" w:hAnsi="Arial" w:cs="Arial"/>
          <w:sz w:val="20"/>
          <w:lang w:val="en-GB"/>
        </w:rPr>
        <w:t>b</w:t>
      </w:r>
      <w:r w:rsidRPr="00295799">
        <w:rPr>
          <w:rFonts w:ascii="Arial" w:hAnsi="Arial" w:cs="Arial"/>
          <w:sz w:val="20"/>
          <w:lang w:val="en-GB"/>
        </w:rPr>
        <w:t xml:space="preserve">licly available but were derived from deals negotiated in camera in which CMS acted as an advisor to </w:t>
      </w:r>
      <w:r w:rsidRPr="00295799">
        <w:rPr>
          <w:rFonts w:ascii="Arial" w:hAnsi="Arial" w:cs="Arial"/>
          <w:sz w:val="20"/>
          <w:lang w:val="en-GB"/>
        </w:rPr>
        <w:lastRenderedPageBreak/>
        <w:t>either the buyer or the seller. Comparable data from the USA were taken from the “Private Target Me</w:t>
      </w:r>
      <w:r w:rsidRPr="00295799">
        <w:rPr>
          <w:rFonts w:ascii="Arial" w:hAnsi="Arial" w:cs="Arial"/>
          <w:sz w:val="20"/>
          <w:lang w:val="en-GB"/>
        </w:rPr>
        <w:t>r</w:t>
      </w:r>
      <w:r w:rsidRPr="00295799">
        <w:rPr>
          <w:rFonts w:ascii="Arial" w:hAnsi="Arial" w:cs="Arial"/>
          <w:sz w:val="20"/>
          <w:lang w:val="en-GB"/>
        </w:rPr>
        <w:t xml:space="preserve">gers &amp; Acquisitions Deal Points Study 2009” of the American Bar Association’s Business Law Section. </w:t>
      </w:r>
    </w:p>
    <w:p w:rsidR="00295799" w:rsidRPr="00295799" w:rsidRDefault="00295799" w:rsidP="00295799">
      <w:pPr>
        <w:spacing w:line="276" w:lineRule="auto"/>
        <w:rPr>
          <w:rFonts w:ascii="Arial" w:hAnsi="Arial" w:cs="Arial"/>
          <w:sz w:val="20"/>
          <w:lang w:val="en-GB"/>
        </w:rPr>
      </w:pPr>
    </w:p>
    <w:p w:rsidR="00295799" w:rsidRPr="00295799" w:rsidRDefault="00295799" w:rsidP="00295799">
      <w:pPr>
        <w:autoSpaceDE w:val="0"/>
        <w:autoSpaceDN w:val="0"/>
        <w:adjustRightInd w:val="0"/>
        <w:spacing w:line="280" w:lineRule="auto"/>
        <w:rPr>
          <w:rFonts w:ascii="Arial" w:hAnsi="Arial" w:cs="Arial"/>
          <w:sz w:val="20"/>
          <w:lang w:val="en-GB"/>
        </w:rPr>
      </w:pPr>
      <w:r w:rsidRPr="00295799">
        <w:rPr>
          <w:rFonts w:ascii="Arial" w:hAnsi="Arial" w:cs="Arial"/>
          <w:noProof/>
          <w:sz w:val="20"/>
          <w:lang w:val="en-GB"/>
        </w:rPr>
        <w:t>The study breaks down its analysis into four European regions:</w:t>
      </w:r>
    </w:p>
    <w:p w:rsidR="00295799" w:rsidRPr="00295799" w:rsidRDefault="00295799" w:rsidP="00295799">
      <w:pPr>
        <w:pStyle w:val="ListParagraph"/>
        <w:numPr>
          <w:ilvl w:val="0"/>
          <w:numId w:val="5"/>
        </w:numPr>
        <w:autoSpaceDE w:val="0"/>
        <w:autoSpaceDN w:val="0"/>
        <w:adjustRightInd w:val="0"/>
        <w:spacing w:line="276" w:lineRule="auto"/>
        <w:rPr>
          <w:rFonts w:ascii="Arial" w:hAnsi="Arial" w:cs="Arial"/>
          <w:sz w:val="20"/>
          <w:szCs w:val="20"/>
          <w:lang w:val="en-GB"/>
        </w:rPr>
      </w:pPr>
      <w:r w:rsidRPr="00295799">
        <w:rPr>
          <w:rFonts w:ascii="Arial" w:hAnsi="Arial" w:cs="Arial"/>
          <w:b/>
          <w:noProof/>
          <w:sz w:val="20"/>
          <w:szCs w:val="20"/>
          <w:lang w:val="en-GB"/>
        </w:rPr>
        <w:t xml:space="preserve">Benelux </w:t>
      </w:r>
      <w:r w:rsidRPr="00295799">
        <w:rPr>
          <w:rFonts w:ascii="Arial" w:hAnsi="Arial" w:cs="Arial"/>
          <w:noProof/>
          <w:sz w:val="20"/>
          <w:szCs w:val="20"/>
          <w:lang w:val="en-GB"/>
        </w:rPr>
        <w:t>(Belgium and the Netherlands)</w:t>
      </w:r>
    </w:p>
    <w:p w:rsidR="00295799" w:rsidRPr="00295799" w:rsidRDefault="00295799" w:rsidP="00295799">
      <w:pPr>
        <w:pStyle w:val="ListParagraph"/>
        <w:numPr>
          <w:ilvl w:val="0"/>
          <w:numId w:val="5"/>
        </w:numPr>
        <w:autoSpaceDE w:val="0"/>
        <w:autoSpaceDN w:val="0"/>
        <w:adjustRightInd w:val="0"/>
        <w:spacing w:line="276" w:lineRule="auto"/>
        <w:rPr>
          <w:rFonts w:ascii="Arial" w:hAnsi="Arial" w:cs="Arial"/>
          <w:sz w:val="20"/>
          <w:szCs w:val="20"/>
          <w:lang w:val="en-GB"/>
        </w:rPr>
      </w:pPr>
      <w:r w:rsidRPr="00295799">
        <w:rPr>
          <w:rFonts w:ascii="Arial" w:hAnsi="Arial" w:cs="Arial"/>
          <w:b/>
          <w:noProof/>
          <w:sz w:val="20"/>
          <w:szCs w:val="20"/>
          <w:lang w:val="en-GB"/>
        </w:rPr>
        <w:t xml:space="preserve">Central and Eastern Europe </w:t>
      </w:r>
      <w:r w:rsidRPr="00295799">
        <w:rPr>
          <w:rFonts w:ascii="Arial" w:hAnsi="Arial" w:cs="Arial"/>
          <w:noProof/>
          <w:sz w:val="20"/>
          <w:szCs w:val="20"/>
          <w:lang w:val="en-GB"/>
        </w:rPr>
        <w:t>(Bulgaria, Croatia, Czech Republic, Hungary, Poland, Romania, Russia, Slovakia, Ukraine)</w:t>
      </w:r>
    </w:p>
    <w:p w:rsidR="00295799" w:rsidRPr="00295799" w:rsidRDefault="00295799" w:rsidP="00295799">
      <w:pPr>
        <w:pStyle w:val="ListParagraph"/>
        <w:numPr>
          <w:ilvl w:val="0"/>
          <w:numId w:val="5"/>
        </w:numPr>
        <w:autoSpaceDE w:val="0"/>
        <w:autoSpaceDN w:val="0"/>
        <w:adjustRightInd w:val="0"/>
        <w:spacing w:line="276" w:lineRule="auto"/>
        <w:rPr>
          <w:rFonts w:ascii="Arial" w:hAnsi="Arial" w:cs="Arial"/>
          <w:sz w:val="20"/>
          <w:szCs w:val="20"/>
          <w:lang w:val="en-GB"/>
        </w:rPr>
      </w:pPr>
      <w:r w:rsidRPr="00295799">
        <w:rPr>
          <w:rFonts w:ascii="Arial" w:hAnsi="Arial" w:cs="Arial"/>
          <w:b/>
          <w:noProof/>
          <w:sz w:val="20"/>
          <w:szCs w:val="20"/>
          <w:lang w:val="en-GB"/>
        </w:rPr>
        <w:t xml:space="preserve">German-speaking countries </w:t>
      </w:r>
      <w:r w:rsidRPr="00295799">
        <w:rPr>
          <w:rFonts w:ascii="Arial" w:hAnsi="Arial" w:cs="Arial"/>
          <w:noProof/>
          <w:sz w:val="20"/>
          <w:szCs w:val="20"/>
          <w:lang w:val="en-GB"/>
        </w:rPr>
        <w:t>(Austria, Germany, Switzerland)</w:t>
      </w:r>
    </w:p>
    <w:p w:rsidR="00295799" w:rsidRPr="00295799" w:rsidRDefault="00295799" w:rsidP="00295799">
      <w:pPr>
        <w:pStyle w:val="ListParagraph"/>
        <w:numPr>
          <w:ilvl w:val="0"/>
          <w:numId w:val="5"/>
        </w:numPr>
        <w:autoSpaceDE w:val="0"/>
        <w:autoSpaceDN w:val="0"/>
        <w:adjustRightInd w:val="0"/>
        <w:spacing w:line="276" w:lineRule="auto"/>
        <w:rPr>
          <w:rFonts w:ascii="Arial" w:hAnsi="Arial" w:cs="Arial"/>
          <w:sz w:val="20"/>
          <w:szCs w:val="20"/>
          <w:lang w:val="en-GB"/>
        </w:rPr>
      </w:pPr>
      <w:r w:rsidRPr="00295799">
        <w:rPr>
          <w:rFonts w:ascii="Arial" w:hAnsi="Arial" w:cs="Arial"/>
          <w:b/>
          <w:noProof/>
          <w:sz w:val="20"/>
          <w:szCs w:val="20"/>
          <w:lang w:val="en-GB"/>
        </w:rPr>
        <w:t xml:space="preserve">Southern Europe </w:t>
      </w:r>
      <w:r w:rsidRPr="00295799">
        <w:rPr>
          <w:rFonts w:ascii="Arial" w:hAnsi="Arial" w:cs="Arial"/>
          <w:noProof/>
          <w:sz w:val="20"/>
          <w:szCs w:val="20"/>
          <w:lang w:val="en-GB"/>
        </w:rPr>
        <w:t>(Italy and Spain)</w:t>
      </w:r>
    </w:p>
    <w:p w:rsidR="00295799" w:rsidRPr="00295799" w:rsidRDefault="00295799" w:rsidP="00295799">
      <w:pPr>
        <w:pStyle w:val="ListParagraph"/>
        <w:numPr>
          <w:ilvl w:val="0"/>
          <w:numId w:val="5"/>
        </w:numPr>
        <w:autoSpaceDE w:val="0"/>
        <w:autoSpaceDN w:val="0"/>
        <w:adjustRightInd w:val="0"/>
        <w:spacing w:line="276" w:lineRule="auto"/>
        <w:rPr>
          <w:rFonts w:ascii="Arial" w:hAnsi="Arial" w:cs="Arial"/>
          <w:sz w:val="20"/>
          <w:szCs w:val="20"/>
          <w:lang w:val="en-GB"/>
        </w:rPr>
      </w:pPr>
      <w:r w:rsidRPr="00295799">
        <w:rPr>
          <w:rFonts w:ascii="Arial" w:hAnsi="Arial" w:cs="Arial"/>
          <w:b/>
          <w:noProof/>
          <w:sz w:val="20"/>
          <w:szCs w:val="20"/>
          <w:lang w:val="en-GB"/>
        </w:rPr>
        <w:t xml:space="preserve">France </w:t>
      </w:r>
      <w:r w:rsidRPr="00295799">
        <w:rPr>
          <w:rFonts w:ascii="Arial" w:hAnsi="Arial" w:cs="Arial"/>
          <w:noProof/>
          <w:sz w:val="20"/>
          <w:szCs w:val="20"/>
          <w:lang w:val="en-GB"/>
        </w:rPr>
        <w:t xml:space="preserve">and the </w:t>
      </w:r>
      <w:r w:rsidRPr="00295799">
        <w:rPr>
          <w:rFonts w:ascii="Arial" w:hAnsi="Arial" w:cs="Arial"/>
          <w:b/>
          <w:noProof/>
          <w:sz w:val="20"/>
          <w:szCs w:val="20"/>
          <w:lang w:val="en-GB"/>
        </w:rPr>
        <w:t xml:space="preserve">United Kingdom </w:t>
      </w:r>
      <w:r w:rsidRPr="00295799">
        <w:rPr>
          <w:rFonts w:ascii="Arial" w:hAnsi="Arial" w:cs="Arial"/>
          <w:noProof/>
          <w:sz w:val="20"/>
          <w:szCs w:val="20"/>
          <w:lang w:val="en-GB"/>
        </w:rPr>
        <w:t>are presented as individual categories.</w:t>
      </w:r>
    </w:p>
    <w:p w:rsidR="00295799" w:rsidRPr="00295799" w:rsidRDefault="00295799" w:rsidP="00295799">
      <w:pPr>
        <w:pStyle w:val="ListParagraph"/>
        <w:autoSpaceDE w:val="0"/>
        <w:autoSpaceDN w:val="0"/>
        <w:adjustRightInd w:val="0"/>
        <w:spacing w:line="276" w:lineRule="auto"/>
        <w:rPr>
          <w:rFonts w:ascii="Arial" w:hAnsi="Arial" w:cs="Arial"/>
          <w:sz w:val="20"/>
          <w:szCs w:val="20"/>
          <w:lang w:val="en-GB"/>
        </w:rPr>
      </w:pPr>
    </w:p>
    <w:p w:rsidR="00295799" w:rsidRPr="00295799" w:rsidRDefault="00295799" w:rsidP="00295799">
      <w:pPr>
        <w:spacing w:line="276" w:lineRule="auto"/>
        <w:rPr>
          <w:rFonts w:ascii="Arial" w:hAnsi="Arial" w:cs="Arial"/>
          <w:sz w:val="20"/>
          <w:lang w:val="en-GB"/>
        </w:rPr>
      </w:pPr>
    </w:p>
    <w:p w:rsidR="00295799" w:rsidRPr="00295799" w:rsidRDefault="00295799" w:rsidP="00295799">
      <w:pPr>
        <w:autoSpaceDE w:val="0"/>
        <w:autoSpaceDN w:val="0"/>
        <w:adjustRightInd w:val="0"/>
        <w:spacing w:line="280" w:lineRule="auto"/>
        <w:rPr>
          <w:rFonts w:ascii="Arial" w:hAnsi="Arial" w:cs="Arial"/>
          <w:b/>
          <w:sz w:val="20"/>
          <w:lang w:val="en-GB"/>
        </w:rPr>
      </w:pPr>
      <w:r w:rsidRPr="00295799">
        <w:rPr>
          <w:rFonts w:ascii="Arial" w:hAnsi="Arial" w:cs="Arial"/>
          <w:b/>
          <w:sz w:val="20"/>
          <w:lang w:val="en-GB"/>
        </w:rPr>
        <w:t>CMS Number 1 for M&amp;A Deals in Europe and CEE</w:t>
      </w:r>
    </w:p>
    <w:p w:rsidR="00295799" w:rsidRPr="00295799" w:rsidRDefault="00295799" w:rsidP="00295799">
      <w:pPr>
        <w:autoSpaceDE w:val="0"/>
        <w:autoSpaceDN w:val="0"/>
        <w:adjustRightInd w:val="0"/>
        <w:spacing w:line="280" w:lineRule="auto"/>
        <w:rPr>
          <w:rFonts w:ascii="Arial" w:hAnsi="Arial" w:cs="Arial"/>
          <w:sz w:val="20"/>
          <w:lang w:val="en-GB"/>
        </w:rPr>
      </w:pPr>
      <w:r w:rsidRPr="00295799">
        <w:rPr>
          <w:rFonts w:ascii="Arial" w:hAnsi="Arial" w:cs="Arial"/>
          <w:sz w:val="20"/>
          <w:lang w:val="en-GB"/>
        </w:rPr>
        <w:t xml:space="preserve">In 2010, CMS advised on approximately 300 transactions, which is a plus of 25 </w:t>
      </w:r>
      <w:proofErr w:type="spellStart"/>
      <w:r w:rsidRPr="00295799">
        <w:rPr>
          <w:rFonts w:ascii="Arial" w:hAnsi="Arial" w:cs="Arial"/>
          <w:sz w:val="20"/>
          <w:lang w:val="en-GB"/>
        </w:rPr>
        <w:t>percent</w:t>
      </w:r>
      <w:proofErr w:type="spellEnd"/>
      <w:r w:rsidRPr="00295799">
        <w:rPr>
          <w:rFonts w:ascii="Arial" w:hAnsi="Arial" w:cs="Arial"/>
          <w:sz w:val="20"/>
          <w:lang w:val="en-GB"/>
        </w:rPr>
        <w:t xml:space="preserve"> compared to 2009. CMS thus comes in first in the M&amp;A rankings of both Bloomberg and </w:t>
      </w:r>
      <w:proofErr w:type="spellStart"/>
      <w:r w:rsidRPr="00295799">
        <w:rPr>
          <w:rFonts w:ascii="Arial" w:hAnsi="Arial" w:cs="Arial"/>
          <w:sz w:val="20"/>
          <w:lang w:val="en-GB"/>
        </w:rPr>
        <w:t>merge</w:t>
      </w:r>
      <w:r w:rsidRPr="00295799">
        <w:rPr>
          <w:rFonts w:ascii="Arial" w:hAnsi="Arial" w:cs="Arial"/>
          <w:sz w:val="20"/>
          <w:lang w:val="en-GB"/>
        </w:rPr>
        <w:t>r</w:t>
      </w:r>
      <w:r w:rsidRPr="00295799">
        <w:rPr>
          <w:rFonts w:ascii="Arial" w:hAnsi="Arial" w:cs="Arial"/>
          <w:sz w:val="20"/>
          <w:lang w:val="en-GB"/>
        </w:rPr>
        <w:t>market</w:t>
      </w:r>
      <w:proofErr w:type="spellEnd"/>
      <w:r w:rsidRPr="00295799">
        <w:rPr>
          <w:rFonts w:ascii="Arial" w:hAnsi="Arial" w:cs="Arial"/>
          <w:sz w:val="20"/>
          <w:lang w:val="en-GB"/>
        </w:rPr>
        <w:t xml:space="preserve"> concerning the number of transactions handled in Europe and CEE. “The results of our study are unique and represent</w:t>
      </w:r>
      <w:r w:rsidRPr="00295799">
        <w:rPr>
          <w:rFonts w:ascii="Arial" w:hAnsi="Arial" w:cs="Arial"/>
          <w:sz w:val="20"/>
          <w:lang w:val="en-GB"/>
        </w:rPr>
        <w:t>a</w:t>
      </w:r>
      <w:r w:rsidRPr="00295799">
        <w:rPr>
          <w:rFonts w:ascii="Arial" w:hAnsi="Arial" w:cs="Arial"/>
          <w:sz w:val="20"/>
          <w:lang w:val="en-GB"/>
        </w:rPr>
        <w:t>tive. In Europe, CMS alone is able to draw from such a rich data pool. And this is a direct result of our expertise in all relevant European markets, which has enabled us to create this Study unparalleled in Europe,” Peter Huber states.</w:t>
      </w:r>
    </w:p>
    <w:p w:rsidR="001809DD" w:rsidRPr="00295799" w:rsidRDefault="001809DD" w:rsidP="001809DD">
      <w:pPr>
        <w:rPr>
          <w:rFonts w:ascii="Arial" w:hAnsi="Arial" w:cs="Arial"/>
          <w:sz w:val="20"/>
          <w:lang w:val="en-GB"/>
        </w:rPr>
      </w:pPr>
    </w:p>
    <w:p w:rsidR="001809DD" w:rsidRPr="00295799" w:rsidRDefault="001809DD" w:rsidP="001809DD">
      <w:pPr>
        <w:rPr>
          <w:rFonts w:ascii="Arial" w:hAnsi="Arial" w:cs="Arial"/>
          <w:sz w:val="20"/>
          <w:lang w:val="en-GB"/>
        </w:rPr>
      </w:pPr>
    </w:p>
    <w:p w:rsidR="00C8763F" w:rsidRPr="00295799" w:rsidRDefault="00C8763F" w:rsidP="00C8763F">
      <w:pPr>
        <w:rPr>
          <w:rFonts w:ascii="Arial" w:hAnsi="Arial" w:cs="Arial"/>
          <w:bCs/>
          <w:noProof/>
          <w:sz w:val="20"/>
          <w:lang w:val="en-GB"/>
        </w:rPr>
      </w:pPr>
    </w:p>
    <w:p w:rsidR="00C743FB" w:rsidRPr="00295799" w:rsidRDefault="001809DD" w:rsidP="00C743FB">
      <w:pPr>
        <w:rPr>
          <w:rFonts w:ascii="Arial" w:hAnsi="Arial" w:cs="Arial"/>
          <w:sz w:val="16"/>
          <w:szCs w:val="16"/>
          <w:lang w:val="en-US"/>
        </w:rPr>
      </w:pPr>
      <w:r w:rsidRPr="00295799">
        <w:rPr>
          <w:rFonts w:ascii="Arial" w:hAnsi="Arial" w:cs="Arial"/>
          <w:iCs/>
          <w:sz w:val="16"/>
          <w:szCs w:val="16"/>
          <w:lang w:val="en-US"/>
        </w:rPr>
        <w:t>For further information please contact</w:t>
      </w:r>
      <w:r w:rsidR="00C743FB" w:rsidRPr="00295799">
        <w:rPr>
          <w:rFonts w:ascii="Arial" w:hAnsi="Arial" w:cs="Arial"/>
          <w:iCs/>
          <w:sz w:val="16"/>
          <w:szCs w:val="16"/>
          <w:lang w:val="en-US"/>
        </w:rPr>
        <w:t>:</w:t>
      </w:r>
    </w:p>
    <w:p w:rsidR="00C743FB" w:rsidRPr="00295799" w:rsidRDefault="00C743FB" w:rsidP="00C743FB">
      <w:pPr>
        <w:outlineLvl w:val="0"/>
        <w:rPr>
          <w:rFonts w:ascii="Arial" w:hAnsi="Arial" w:cs="Arial"/>
          <w:sz w:val="16"/>
          <w:szCs w:val="16"/>
        </w:rPr>
      </w:pPr>
      <w:r w:rsidRPr="00295799">
        <w:rPr>
          <w:rFonts w:ascii="Arial" w:hAnsi="Arial" w:cs="Arial"/>
          <w:b/>
          <w:bCs/>
          <w:iCs/>
          <w:sz w:val="16"/>
          <w:szCs w:val="16"/>
          <w:lang w:val="de-DE"/>
        </w:rPr>
        <w:t>Mag. Kristijana Lastro</w:t>
      </w:r>
    </w:p>
    <w:p w:rsidR="00C743FB" w:rsidRPr="00295799" w:rsidRDefault="00C743FB" w:rsidP="00C743FB">
      <w:pPr>
        <w:outlineLvl w:val="0"/>
        <w:rPr>
          <w:rFonts w:ascii="Arial" w:hAnsi="Arial" w:cs="Arial"/>
          <w:sz w:val="16"/>
          <w:szCs w:val="16"/>
        </w:rPr>
      </w:pPr>
      <w:smartTag w:uri="urn:schemas-microsoft-com:office:smarttags" w:element="PersonName">
        <w:r w:rsidRPr="00295799">
          <w:rPr>
            <w:rFonts w:ascii="Arial" w:hAnsi="Arial" w:cs="Arial"/>
            <w:iCs/>
            <w:sz w:val="16"/>
            <w:szCs w:val="16"/>
            <w:lang w:val="de-DE"/>
          </w:rPr>
          <w:t>CMS Reich-Rohrwig Hainz</w:t>
        </w:r>
      </w:smartTag>
      <w:r w:rsidRPr="00295799">
        <w:rPr>
          <w:rFonts w:ascii="Arial" w:hAnsi="Arial" w:cs="Arial"/>
          <w:iCs/>
          <w:sz w:val="16"/>
          <w:szCs w:val="16"/>
          <w:lang w:val="de-DE"/>
        </w:rPr>
        <w:t xml:space="preserve"> Rechtsanwälte GmbH</w:t>
      </w:r>
    </w:p>
    <w:p w:rsidR="00C743FB" w:rsidRPr="00295799" w:rsidRDefault="00C743FB" w:rsidP="00C743FB">
      <w:pPr>
        <w:rPr>
          <w:rFonts w:ascii="Arial" w:hAnsi="Arial" w:cs="Arial"/>
          <w:sz w:val="16"/>
          <w:szCs w:val="16"/>
        </w:rPr>
      </w:pPr>
      <w:r w:rsidRPr="00295799">
        <w:rPr>
          <w:rFonts w:ascii="Arial" w:hAnsi="Arial" w:cs="Arial"/>
          <w:iCs/>
          <w:sz w:val="16"/>
          <w:szCs w:val="16"/>
          <w:lang w:val="de-DE"/>
        </w:rPr>
        <w:t xml:space="preserve">A-1010 Wien, </w:t>
      </w:r>
      <w:proofErr w:type="spellStart"/>
      <w:r w:rsidRPr="00295799">
        <w:rPr>
          <w:rFonts w:ascii="Arial" w:hAnsi="Arial" w:cs="Arial"/>
          <w:iCs/>
          <w:sz w:val="16"/>
          <w:szCs w:val="16"/>
          <w:lang w:val="de-DE"/>
        </w:rPr>
        <w:t>Ebendorferstraße</w:t>
      </w:r>
      <w:proofErr w:type="spellEnd"/>
      <w:r w:rsidRPr="00295799">
        <w:rPr>
          <w:rFonts w:ascii="Arial" w:hAnsi="Arial" w:cs="Arial"/>
          <w:iCs/>
          <w:sz w:val="16"/>
          <w:szCs w:val="16"/>
          <w:lang w:val="de-DE"/>
        </w:rPr>
        <w:t xml:space="preserve"> 3</w:t>
      </w:r>
    </w:p>
    <w:p w:rsidR="00C743FB" w:rsidRPr="00295799" w:rsidRDefault="00C743FB" w:rsidP="00147D48">
      <w:pPr>
        <w:rPr>
          <w:rFonts w:ascii="Arial" w:hAnsi="Arial" w:cs="Arial"/>
          <w:sz w:val="16"/>
          <w:szCs w:val="16"/>
        </w:rPr>
      </w:pPr>
      <w:r w:rsidRPr="00295799">
        <w:rPr>
          <w:rFonts w:ascii="Arial" w:hAnsi="Arial" w:cs="Arial"/>
          <w:iCs/>
          <w:sz w:val="16"/>
          <w:szCs w:val="16"/>
          <w:lang w:val="de-DE"/>
        </w:rPr>
        <w:t xml:space="preserve">T +43 1 40443 </w:t>
      </w:r>
      <w:r w:rsidR="00147D48" w:rsidRPr="00295799">
        <w:rPr>
          <w:rFonts w:ascii="Arial" w:hAnsi="Arial" w:cs="Arial"/>
          <w:iCs/>
          <w:sz w:val="16"/>
          <w:szCs w:val="16"/>
          <w:lang w:val="de-DE"/>
        </w:rPr>
        <w:t>4043</w:t>
      </w:r>
    </w:p>
    <w:p w:rsidR="00C743FB" w:rsidRPr="00295799" w:rsidRDefault="00C743FB" w:rsidP="00C743FB">
      <w:pPr>
        <w:rPr>
          <w:rFonts w:ascii="Arial" w:hAnsi="Arial" w:cs="Arial"/>
          <w:sz w:val="16"/>
          <w:szCs w:val="16"/>
        </w:rPr>
      </w:pPr>
      <w:r w:rsidRPr="00295799">
        <w:rPr>
          <w:rFonts w:ascii="Arial" w:hAnsi="Arial" w:cs="Arial"/>
          <w:iCs/>
          <w:sz w:val="16"/>
          <w:szCs w:val="16"/>
          <w:lang w:val="de-DE"/>
        </w:rPr>
        <w:t>F +43 1 40443 9</w:t>
      </w:r>
      <w:r w:rsidR="00147D48" w:rsidRPr="00295799">
        <w:rPr>
          <w:rFonts w:ascii="Arial" w:hAnsi="Arial" w:cs="Arial"/>
          <w:iCs/>
          <w:sz w:val="16"/>
          <w:szCs w:val="16"/>
          <w:lang w:val="de-DE"/>
        </w:rPr>
        <w:t>4043</w:t>
      </w:r>
    </w:p>
    <w:p w:rsidR="00C743FB" w:rsidRPr="00295799" w:rsidRDefault="00C743FB" w:rsidP="00C743FB">
      <w:pPr>
        <w:outlineLvl w:val="0"/>
        <w:rPr>
          <w:rFonts w:ascii="Arial" w:hAnsi="Arial" w:cs="Arial"/>
          <w:sz w:val="16"/>
          <w:szCs w:val="16"/>
          <w:lang w:val="it-IT"/>
        </w:rPr>
      </w:pPr>
      <w:r w:rsidRPr="00295799">
        <w:rPr>
          <w:rFonts w:ascii="Arial" w:hAnsi="Arial" w:cs="Arial"/>
          <w:iCs/>
          <w:sz w:val="16"/>
          <w:szCs w:val="16"/>
          <w:lang w:val="it-IT"/>
        </w:rPr>
        <w:t xml:space="preserve">E </w:t>
      </w:r>
      <w:hyperlink r:id="rId8" w:history="1">
        <w:r w:rsidRPr="00295799">
          <w:rPr>
            <w:rStyle w:val="Hyperlink"/>
            <w:rFonts w:ascii="Arial" w:hAnsi="Arial" w:cs="Arial"/>
            <w:iCs/>
            <w:color w:val="auto"/>
            <w:sz w:val="16"/>
            <w:szCs w:val="16"/>
            <w:lang w:val="it-IT"/>
          </w:rPr>
          <w:t>kristijana.lastro@cms-rrh.com</w:t>
        </w:r>
      </w:hyperlink>
    </w:p>
    <w:p w:rsidR="00C743FB" w:rsidRPr="00295799" w:rsidRDefault="00C743FB" w:rsidP="00C743FB">
      <w:pPr>
        <w:tabs>
          <w:tab w:val="left" w:pos="5103"/>
        </w:tabs>
        <w:ind w:right="-288"/>
        <w:rPr>
          <w:rFonts w:ascii="Arial" w:hAnsi="Arial" w:cs="Arial"/>
          <w:sz w:val="16"/>
          <w:szCs w:val="16"/>
          <w:lang w:val="it-IT"/>
        </w:rPr>
      </w:pPr>
    </w:p>
    <w:p w:rsidR="00C743FB" w:rsidRPr="00295799" w:rsidRDefault="00C743FB" w:rsidP="00C743FB">
      <w:pPr>
        <w:ind w:right="-288"/>
        <w:rPr>
          <w:rFonts w:ascii="Arial" w:hAnsi="Arial" w:cs="Arial"/>
          <w:sz w:val="16"/>
          <w:szCs w:val="16"/>
          <w:lang w:val="it-IT"/>
        </w:rPr>
      </w:pPr>
    </w:p>
    <w:p w:rsidR="008907E1" w:rsidRPr="00295799" w:rsidRDefault="003C2669" w:rsidP="008907E1">
      <w:pPr>
        <w:pStyle w:val="StandardWeb"/>
        <w:spacing w:before="0" w:beforeAutospacing="0" w:after="0" w:afterAutospacing="0"/>
        <w:jc w:val="both"/>
        <w:rPr>
          <w:rStyle w:val="Fett"/>
          <w:rFonts w:ascii="Arial" w:hAnsi="Arial" w:cs="Arial"/>
          <w:color w:val="auto"/>
          <w:sz w:val="16"/>
          <w:szCs w:val="16"/>
          <w:lang w:val="en-US"/>
        </w:rPr>
      </w:pPr>
      <w:r w:rsidRPr="00295799">
        <w:rPr>
          <w:rStyle w:val="Fett"/>
          <w:rFonts w:ascii="Arial" w:hAnsi="Arial" w:cs="Arial"/>
          <w:color w:val="auto"/>
          <w:sz w:val="16"/>
          <w:szCs w:val="16"/>
          <w:lang w:val="en-US"/>
        </w:rPr>
        <w:t>About</w:t>
      </w:r>
      <w:r w:rsidR="008907E1" w:rsidRPr="00295799">
        <w:rPr>
          <w:rStyle w:val="Fett"/>
          <w:rFonts w:ascii="Arial" w:hAnsi="Arial" w:cs="Arial"/>
          <w:color w:val="auto"/>
          <w:sz w:val="16"/>
          <w:szCs w:val="16"/>
          <w:lang w:val="en-US"/>
        </w:rPr>
        <w:t xml:space="preserve"> </w:t>
      </w:r>
      <w:smartTag w:uri="urn:schemas-microsoft-com:office:smarttags" w:element="PersonName">
        <w:r w:rsidR="008907E1" w:rsidRPr="00295799">
          <w:rPr>
            <w:rStyle w:val="Fett"/>
            <w:rFonts w:ascii="Arial" w:hAnsi="Arial" w:cs="Arial"/>
            <w:color w:val="auto"/>
            <w:sz w:val="16"/>
            <w:szCs w:val="16"/>
            <w:lang w:val="en-US"/>
          </w:rPr>
          <w:t>CMS Reich-Rohrwig Hainz</w:t>
        </w:r>
      </w:smartTag>
    </w:p>
    <w:p w:rsidR="003E72CD" w:rsidRPr="00295799" w:rsidRDefault="003E72CD" w:rsidP="001775D4">
      <w:pPr>
        <w:pStyle w:val="StandardWeb"/>
        <w:jc w:val="both"/>
        <w:rPr>
          <w:rFonts w:ascii="Arial" w:hAnsi="Arial" w:cs="Arial"/>
          <w:color w:val="auto"/>
          <w:sz w:val="16"/>
          <w:szCs w:val="16"/>
          <w:lang w:val="en-GB"/>
        </w:rPr>
      </w:pPr>
      <w:r w:rsidRPr="00295799">
        <w:rPr>
          <w:rFonts w:ascii="Arial" w:hAnsi="Arial" w:cs="Arial"/>
          <w:color w:val="auto"/>
          <w:sz w:val="16"/>
          <w:szCs w:val="16"/>
          <w:lang w:val="en-GB"/>
        </w:rPr>
        <w:t xml:space="preserve">CMS Reich-Rohrwig Hainz was founded in </w:t>
      </w:r>
      <w:smartTag w:uri="urn:schemas-microsoft-com:office:smarttags" w:element="place">
        <w:smartTag w:uri="urn:schemas-microsoft-com:office:smarttags" w:element="City">
          <w:r w:rsidRPr="00295799">
            <w:rPr>
              <w:rFonts w:ascii="Arial" w:hAnsi="Arial" w:cs="Arial"/>
              <w:color w:val="auto"/>
              <w:sz w:val="16"/>
              <w:szCs w:val="16"/>
              <w:lang w:val="en-GB"/>
            </w:rPr>
            <w:t>Vienna</w:t>
          </w:r>
        </w:smartTag>
      </w:smartTag>
      <w:r w:rsidRPr="00295799">
        <w:rPr>
          <w:rFonts w:ascii="Arial" w:hAnsi="Arial" w:cs="Arial"/>
          <w:color w:val="auto"/>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295799">
          <w:rPr>
            <w:rFonts w:ascii="Arial" w:hAnsi="Arial" w:cs="Arial"/>
            <w:color w:val="auto"/>
            <w:sz w:val="16"/>
            <w:szCs w:val="16"/>
            <w:lang w:val="en-GB"/>
          </w:rPr>
          <w:t>Vienna</w:t>
        </w:r>
      </w:smartTag>
      <w:r w:rsidRPr="00295799">
        <w:rPr>
          <w:rFonts w:ascii="Arial" w:hAnsi="Arial" w:cs="Arial"/>
          <w:color w:val="auto"/>
          <w:sz w:val="16"/>
          <w:szCs w:val="16"/>
          <w:lang w:val="en-GB"/>
        </w:rPr>
        <w:t xml:space="preserve">, </w:t>
      </w:r>
      <w:smartTag w:uri="urn:schemas-microsoft-com:office:smarttags" w:element="City">
        <w:r w:rsidRPr="00295799">
          <w:rPr>
            <w:rFonts w:ascii="Arial" w:hAnsi="Arial" w:cs="Arial"/>
            <w:color w:val="auto"/>
            <w:sz w:val="16"/>
            <w:szCs w:val="16"/>
            <w:lang w:val="en-GB"/>
          </w:rPr>
          <w:t>Belgrade</w:t>
        </w:r>
      </w:smartTag>
      <w:r w:rsidRPr="00295799">
        <w:rPr>
          <w:rFonts w:ascii="Arial" w:hAnsi="Arial" w:cs="Arial"/>
          <w:color w:val="auto"/>
          <w:sz w:val="16"/>
          <w:szCs w:val="16"/>
          <w:lang w:val="en-GB"/>
        </w:rPr>
        <w:t xml:space="preserve">, </w:t>
      </w:r>
      <w:smartTag w:uri="urn:schemas-microsoft-com:office:smarttags" w:element="City">
        <w:r w:rsidRPr="00295799">
          <w:rPr>
            <w:rFonts w:ascii="Arial" w:hAnsi="Arial" w:cs="Arial"/>
            <w:color w:val="auto"/>
            <w:sz w:val="16"/>
            <w:szCs w:val="16"/>
            <w:lang w:val="en-GB"/>
          </w:rPr>
          <w:t>Bratislava</w:t>
        </w:r>
      </w:smartTag>
      <w:r w:rsidRPr="00295799">
        <w:rPr>
          <w:rFonts w:ascii="Arial" w:hAnsi="Arial" w:cs="Arial"/>
          <w:color w:val="auto"/>
          <w:sz w:val="16"/>
          <w:szCs w:val="16"/>
          <w:lang w:val="en-GB"/>
        </w:rPr>
        <w:t xml:space="preserve">, </w:t>
      </w:r>
      <w:smartTag w:uri="urn:schemas-microsoft-com:office:smarttags" w:element="City">
        <w:r w:rsidRPr="00295799">
          <w:rPr>
            <w:rFonts w:ascii="Arial" w:hAnsi="Arial" w:cs="Arial"/>
            <w:color w:val="auto"/>
            <w:sz w:val="16"/>
            <w:szCs w:val="16"/>
            <w:lang w:val="en-GB"/>
          </w:rPr>
          <w:t>Brussels</w:t>
        </w:r>
      </w:smartTag>
      <w:r w:rsidRPr="00295799">
        <w:rPr>
          <w:rFonts w:ascii="Arial" w:hAnsi="Arial" w:cs="Arial"/>
          <w:color w:val="auto"/>
          <w:sz w:val="16"/>
          <w:szCs w:val="16"/>
          <w:lang w:val="en-GB"/>
        </w:rPr>
        <w:t xml:space="preserve">, </w:t>
      </w:r>
      <w:smartTag w:uri="urn:schemas-microsoft-com:office:smarttags" w:element="City">
        <w:r w:rsidRPr="00295799">
          <w:rPr>
            <w:rFonts w:ascii="Arial" w:hAnsi="Arial" w:cs="Arial"/>
            <w:color w:val="auto"/>
            <w:sz w:val="16"/>
            <w:szCs w:val="16"/>
            <w:lang w:val="en-GB"/>
          </w:rPr>
          <w:t>Kiev</w:t>
        </w:r>
      </w:smartTag>
      <w:r w:rsidRPr="00295799">
        <w:rPr>
          <w:rFonts w:ascii="Arial" w:hAnsi="Arial" w:cs="Arial"/>
          <w:color w:val="auto"/>
          <w:sz w:val="16"/>
          <w:szCs w:val="16"/>
          <w:lang w:val="en-GB"/>
        </w:rPr>
        <w:t xml:space="preserve">, </w:t>
      </w:r>
      <w:smartTag w:uri="urn:schemas-microsoft-com:office:smarttags" w:element="City">
        <w:r w:rsidRPr="00295799">
          <w:rPr>
            <w:rFonts w:ascii="Arial" w:hAnsi="Arial" w:cs="Arial"/>
            <w:color w:val="auto"/>
            <w:sz w:val="16"/>
            <w:szCs w:val="16"/>
            <w:lang w:val="en-GB"/>
          </w:rPr>
          <w:t>Ljubljana</w:t>
        </w:r>
      </w:smartTag>
      <w:r w:rsidRPr="00295799">
        <w:rPr>
          <w:rFonts w:ascii="Arial" w:hAnsi="Arial" w:cs="Arial"/>
          <w:color w:val="auto"/>
          <w:sz w:val="16"/>
          <w:szCs w:val="16"/>
          <w:lang w:val="en-GB"/>
        </w:rPr>
        <w:t xml:space="preserve">, </w:t>
      </w:r>
      <w:smartTag w:uri="urn:schemas-microsoft-com:office:smarttags" w:element="City">
        <w:r w:rsidRPr="00295799">
          <w:rPr>
            <w:rFonts w:ascii="Arial" w:hAnsi="Arial" w:cs="Arial"/>
            <w:color w:val="auto"/>
            <w:sz w:val="16"/>
            <w:szCs w:val="16"/>
            <w:lang w:val="en-GB"/>
          </w:rPr>
          <w:t>Sarajevo</w:t>
        </w:r>
      </w:smartTag>
      <w:r w:rsidRPr="00295799">
        <w:rPr>
          <w:rFonts w:ascii="Arial" w:hAnsi="Arial" w:cs="Arial"/>
          <w:color w:val="auto"/>
          <w:sz w:val="16"/>
          <w:szCs w:val="16"/>
          <w:lang w:val="en-GB"/>
        </w:rPr>
        <w:t xml:space="preserve">, </w:t>
      </w:r>
      <w:smartTag w:uri="urn:schemas-microsoft-com:office:smarttags" w:element="City">
        <w:r w:rsidRPr="00295799">
          <w:rPr>
            <w:rFonts w:ascii="Arial" w:hAnsi="Arial" w:cs="Arial"/>
            <w:color w:val="auto"/>
            <w:sz w:val="16"/>
            <w:szCs w:val="16"/>
            <w:lang w:val="en-GB"/>
          </w:rPr>
          <w:t>Sofia</w:t>
        </w:r>
      </w:smartTag>
      <w:r w:rsidRPr="00295799">
        <w:rPr>
          <w:rFonts w:ascii="Arial" w:hAnsi="Arial" w:cs="Arial"/>
          <w:color w:val="auto"/>
          <w:sz w:val="16"/>
          <w:szCs w:val="16"/>
          <w:lang w:val="en-GB"/>
        </w:rPr>
        <w:t xml:space="preserve"> and </w:t>
      </w:r>
      <w:smartTag w:uri="urn:schemas-microsoft-com:office:smarttags" w:element="place">
        <w:smartTag w:uri="urn:schemas-microsoft-com:office:smarttags" w:element="City">
          <w:r w:rsidRPr="00295799">
            <w:rPr>
              <w:rFonts w:ascii="Arial" w:hAnsi="Arial" w:cs="Arial"/>
              <w:color w:val="auto"/>
              <w:sz w:val="16"/>
              <w:szCs w:val="16"/>
              <w:lang w:val="en-GB"/>
            </w:rPr>
            <w:t>Zagreb</w:t>
          </w:r>
        </w:smartTag>
      </w:smartTag>
      <w:r w:rsidRPr="00295799">
        <w:rPr>
          <w:rFonts w:ascii="Arial" w:hAnsi="Arial" w:cs="Arial"/>
          <w:color w:val="auto"/>
          <w:sz w:val="16"/>
          <w:szCs w:val="16"/>
          <w:lang w:val="en-GB"/>
        </w:rPr>
        <w:t>. All CMS offices together offer clients a team of more than 500 experienced specialists in 13 offices across the CEE/SEE region.</w:t>
      </w:r>
    </w:p>
    <w:p w:rsidR="008907E1" w:rsidRPr="00295799" w:rsidRDefault="003E72CD" w:rsidP="001775D4">
      <w:pPr>
        <w:pStyle w:val="StandardWeb"/>
        <w:spacing w:before="0" w:beforeAutospacing="0" w:after="0" w:afterAutospacing="0"/>
        <w:jc w:val="both"/>
        <w:rPr>
          <w:color w:val="auto"/>
          <w:lang w:val="en-GB"/>
        </w:rPr>
      </w:pPr>
      <w:r w:rsidRPr="00295799">
        <w:rPr>
          <w:rFonts w:ascii="Arial" w:hAnsi="Arial" w:cs="Arial"/>
          <w:color w:val="auto"/>
          <w:sz w:val="16"/>
          <w:szCs w:val="16"/>
          <w:lang w:val="en-GB"/>
        </w:rPr>
        <w:t xml:space="preserve">CMS Reich-Rohrwig Hainz is one of the founding members of CMS, </w:t>
      </w:r>
      <w:r w:rsidR="00CD0F01" w:rsidRPr="00295799">
        <w:rPr>
          <w:rFonts w:ascii="Arial" w:hAnsi="Arial" w:cs="Arial"/>
          <w:color w:val="auto"/>
          <w:sz w:val="16"/>
          <w:szCs w:val="16"/>
          <w:lang w:val="en-GB"/>
        </w:rPr>
        <w:t>the</w:t>
      </w:r>
      <w:r w:rsidRPr="00295799">
        <w:rPr>
          <w:rFonts w:ascii="Arial" w:hAnsi="Arial" w:cs="Arial"/>
          <w:color w:val="auto"/>
          <w:sz w:val="16"/>
          <w:szCs w:val="16"/>
          <w:lang w:val="en-GB"/>
        </w:rPr>
        <w:t xml:space="preserve"> association of leading European legal firms and tax co</w:t>
      </w:r>
      <w:r w:rsidRPr="00295799">
        <w:rPr>
          <w:rFonts w:ascii="Arial" w:hAnsi="Arial" w:cs="Arial"/>
          <w:color w:val="auto"/>
          <w:sz w:val="16"/>
          <w:szCs w:val="16"/>
          <w:lang w:val="en-GB"/>
        </w:rPr>
        <w:t>n</w:t>
      </w:r>
      <w:r w:rsidRPr="00295799">
        <w:rPr>
          <w:rFonts w:ascii="Arial" w:hAnsi="Arial" w:cs="Arial"/>
          <w:color w:val="auto"/>
          <w:sz w:val="16"/>
          <w:szCs w:val="16"/>
          <w:lang w:val="en-GB"/>
        </w:rPr>
        <w:t xml:space="preserve">sultants. At present, CMS operates a network consisting of more than </w:t>
      </w:r>
      <w:r w:rsidR="007D253D" w:rsidRPr="00295799">
        <w:rPr>
          <w:rFonts w:ascii="Arial" w:hAnsi="Arial" w:cs="Arial"/>
          <w:color w:val="auto"/>
          <w:sz w:val="16"/>
          <w:szCs w:val="16"/>
          <w:lang w:val="en-GB"/>
        </w:rPr>
        <w:t>7</w:t>
      </w:r>
      <w:r w:rsidRPr="00295799">
        <w:rPr>
          <w:rFonts w:ascii="Arial" w:hAnsi="Arial" w:cs="Arial"/>
          <w:color w:val="auto"/>
          <w:sz w:val="16"/>
          <w:szCs w:val="16"/>
          <w:lang w:val="en-GB"/>
        </w:rPr>
        <w:t>00 partners, 2,</w:t>
      </w:r>
      <w:r w:rsidR="007D253D" w:rsidRPr="00295799">
        <w:rPr>
          <w:rFonts w:ascii="Arial" w:hAnsi="Arial" w:cs="Arial"/>
          <w:color w:val="auto"/>
          <w:sz w:val="16"/>
          <w:szCs w:val="16"/>
          <w:lang w:val="en-GB"/>
        </w:rPr>
        <w:t>8</w:t>
      </w:r>
      <w:r w:rsidRPr="00295799">
        <w:rPr>
          <w:rFonts w:ascii="Arial" w:hAnsi="Arial" w:cs="Arial"/>
          <w:color w:val="auto"/>
          <w:sz w:val="16"/>
          <w:szCs w:val="16"/>
          <w:lang w:val="en-GB"/>
        </w:rPr>
        <w:t xml:space="preserve">00 lawyers and tax consultants, and a total of </w:t>
      </w:r>
      <w:r w:rsidR="007D253D" w:rsidRPr="00295799">
        <w:rPr>
          <w:rFonts w:ascii="Arial" w:hAnsi="Arial" w:cs="Arial"/>
          <w:color w:val="auto"/>
          <w:sz w:val="16"/>
          <w:szCs w:val="16"/>
          <w:lang w:val="en-GB"/>
        </w:rPr>
        <w:t>5</w:t>
      </w:r>
      <w:r w:rsidRPr="00295799">
        <w:rPr>
          <w:rFonts w:ascii="Arial" w:hAnsi="Arial" w:cs="Arial"/>
          <w:color w:val="auto"/>
          <w:sz w:val="16"/>
          <w:szCs w:val="16"/>
          <w:lang w:val="en-GB"/>
        </w:rPr>
        <w:t>,</w:t>
      </w:r>
      <w:r w:rsidR="007D253D" w:rsidRPr="00295799">
        <w:rPr>
          <w:rFonts w:ascii="Arial" w:hAnsi="Arial" w:cs="Arial"/>
          <w:color w:val="auto"/>
          <w:sz w:val="16"/>
          <w:szCs w:val="16"/>
          <w:lang w:val="en-GB"/>
        </w:rPr>
        <w:t>0</w:t>
      </w:r>
      <w:r w:rsidRPr="00295799">
        <w:rPr>
          <w:rFonts w:ascii="Arial" w:hAnsi="Arial" w:cs="Arial"/>
          <w:color w:val="auto"/>
          <w:sz w:val="16"/>
          <w:szCs w:val="16"/>
          <w:lang w:val="en-GB"/>
        </w:rPr>
        <w:t xml:space="preserve">00 employees working on behalf of its clients.  </w:t>
      </w:r>
      <w:r w:rsidR="008907E1" w:rsidRPr="00295799">
        <w:rPr>
          <w:rFonts w:ascii="Arial" w:hAnsi="Arial" w:cs="Arial"/>
          <w:color w:val="auto"/>
          <w:sz w:val="16"/>
          <w:szCs w:val="16"/>
          <w:lang w:val="en-GB"/>
        </w:rPr>
        <w:t xml:space="preserve">www.cms-rrh.com </w:t>
      </w:r>
    </w:p>
    <w:p w:rsidR="001809DD" w:rsidRPr="00295799" w:rsidRDefault="001809DD" w:rsidP="008907E1">
      <w:pPr>
        <w:ind w:right="-2"/>
        <w:rPr>
          <w:rFonts w:ascii="Arial" w:hAnsi="Arial" w:cs="Arial"/>
          <w:b/>
          <w:bCs/>
          <w:sz w:val="16"/>
          <w:szCs w:val="16"/>
          <w:lang w:val="en-GB"/>
        </w:rPr>
      </w:pPr>
    </w:p>
    <w:p w:rsidR="003C2669" w:rsidRPr="00295799" w:rsidRDefault="003C2669" w:rsidP="008907E1">
      <w:pPr>
        <w:ind w:right="-2"/>
        <w:rPr>
          <w:rFonts w:ascii="Arial" w:hAnsi="Arial" w:cs="Arial"/>
          <w:b/>
          <w:bCs/>
          <w:sz w:val="16"/>
          <w:szCs w:val="16"/>
          <w:lang w:val="en-GB"/>
        </w:rPr>
      </w:pPr>
    </w:p>
    <w:p w:rsidR="008907E1" w:rsidRPr="00295799" w:rsidRDefault="003C2669" w:rsidP="008907E1">
      <w:pPr>
        <w:ind w:right="-2"/>
        <w:rPr>
          <w:rFonts w:ascii="Arial" w:hAnsi="Arial" w:cs="Arial"/>
          <w:b/>
          <w:bCs/>
          <w:sz w:val="16"/>
          <w:szCs w:val="16"/>
          <w:lang w:val="en-US"/>
        </w:rPr>
      </w:pPr>
      <w:r w:rsidRPr="00295799">
        <w:rPr>
          <w:rFonts w:ascii="Arial" w:hAnsi="Arial" w:cs="Arial"/>
          <w:b/>
          <w:bCs/>
          <w:sz w:val="16"/>
          <w:szCs w:val="16"/>
          <w:lang w:val="en-US"/>
        </w:rPr>
        <w:t>About</w:t>
      </w:r>
      <w:r w:rsidR="008907E1" w:rsidRPr="00295799">
        <w:rPr>
          <w:rFonts w:ascii="Arial" w:hAnsi="Arial" w:cs="Arial"/>
          <w:b/>
          <w:bCs/>
          <w:sz w:val="16"/>
          <w:szCs w:val="16"/>
          <w:lang w:val="en-US"/>
        </w:rPr>
        <w:t xml:space="preserve"> CMS</w:t>
      </w:r>
    </w:p>
    <w:p w:rsidR="003C2669" w:rsidRPr="00295799" w:rsidRDefault="003C2669" w:rsidP="003C2669">
      <w:pPr>
        <w:ind w:right="-2"/>
        <w:rPr>
          <w:rFonts w:ascii="Arial" w:hAnsi="Arial" w:cs="Arial"/>
          <w:sz w:val="16"/>
          <w:szCs w:val="16"/>
          <w:lang w:val="en-US"/>
        </w:rPr>
      </w:pPr>
      <w:r w:rsidRPr="00295799">
        <w:rPr>
          <w:rFonts w:ascii="Arial" w:hAnsi="Arial" w:cs="Arial"/>
          <w:sz w:val="16"/>
          <w:szCs w:val="16"/>
          <w:lang w:val="en-US"/>
        </w:rPr>
        <w:t xml:space="preserve">CMS aims to be </w:t>
      </w:r>
      <w:proofErr w:type="spellStart"/>
      <w:r w:rsidRPr="00295799">
        <w:rPr>
          <w:rFonts w:ascii="Arial" w:hAnsi="Arial" w:cs="Arial"/>
          <w:sz w:val="16"/>
          <w:szCs w:val="16"/>
          <w:lang w:val="en-US"/>
        </w:rPr>
        <w:t>recognised</w:t>
      </w:r>
      <w:proofErr w:type="spellEnd"/>
      <w:r w:rsidRPr="00295799">
        <w:rPr>
          <w:rFonts w:ascii="Arial" w:hAnsi="Arial" w:cs="Arial"/>
          <w:sz w:val="16"/>
          <w:szCs w:val="16"/>
          <w:lang w:val="en-US"/>
        </w:rPr>
        <w:t xml:space="preserve"> as the best European provider of legal and tax services. Clients say that what makes CMS special is a combination of three things:</w:t>
      </w:r>
    </w:p>
    <w:p w:rsidR="003C2669" w:rsidRPr="00295799" w:rsidRDefault="003C2669" w:rsidP="003C2669">
      <w:pPr>
        <w:ind w:right="-2"/>
        <w:rPr>
          <w:rFonts w:ascii="Arial" w:hAnsi="Arial" w:cs="Arial"/>
          <w:sz w:val="16"/>
          <w:szCs w:val="16"/>
          <w:lang w:val="en-US"/>
        </w:rPr>
      </w:pPr>
    </w:p>
    <w:p w:rsidR="003C2669" w:rsidRPr="00295799" w:rsidRDefault="003C2669" w:rsidP="003C2669">
      <w:pPr>
        <w:ind w:right="-2"/>
        <w:rPr>
          <w:rFonts w:ascii="Arial" w:hAnsi="Arial" w:cs="Arial"/>
          <w:sz w:val="16"/>
          <w:szCs w:val="16"/>
          <w:lang w:val="en-US"/>
        </w:rPr>
      </w:pPr>
      <w:r w:rsidRPr="00295799">
        <w:rPr>
          <w:rFonts w:ascii="Arial" w:hAnsi="Arial" w:cs="Arial"/>
          <w:sz w:val="16"/>
          <w:szCs w:val="16"/>
          <w:lang w:val="en-US"/>
        </w:rPr>
        <w:t>Strong, trusted client relationships</w:t>
      </w:r>
    </w:p>
    <w:p w:rsidR="003C2669" w:rsidRPr="00295799" w:rsidRDefault="003C2669" w:rsidP="003C2669">
      <w:pPr>
        <w:ind w:right="-2"/>
        <w:rPr>
          <w:rFonts w:ascii="Arial" w:hAnsi="Arial" w:cs="Arial"/>
          <w:sz w:val="16"/>
          <w:szCs w:val="16"/>
          <w:lang w:val="en-US"/>
        </w:rPr>
      </w:pPr>
      <w:r w:rsidRPr="00295799">
        <w:rPr>
          <w:rFonts w:ascii="Arial" w:hAnsi="Arial" w:cs="Arial"/>
          <w:sz w:val="16"/>
          <w:szCs w:val="16"/>
          <w:lang w:val="en-US"/>
        </w:rPr>
        <w:t>High quality advice</w:t>
      </w:r>
    </w:p>
    <w:p w:rsidR="003C2669" w:rsidRPr="00295799" w:rsidRDefault="003C2669" w:rsidP="003C2669">
      <w:pPr>
        <w:ind w:right="-2"/>
        <w:rPr>
          <w:rFonts w:ascii="Arial" w:hAnsi="Arial" w:cs="Arial"/>
          <w:sz w:val="16"/>
          <w:szCs w:val="16"/>
          <w:lang w:val="en-US"/>
        </w:rPr>
      </w:pPr>
      <w:r w:rsidRPr="00295799">
        <w:rPr>
          <w:rFonts w:ascii="Arial" w:hAnsi="Arial" w:cs="Arial"/>
          <w:sz w:val="16"/>
          <w:szCs w:val="16"/>
          <w:lang w:val="en-US"/>
        </w:rPr>
        <w:t>Industry specialization</w:t>
      </w:r>
    </w:p>
    <w:p w:rsidR="003C2669" w:rsidRPr="00295799" w:rsidRDefault="003C2669" w:rsidP="003C2669">
      <w:pPr>
        <w:ind w:right="-2"/>
        <w:rPr>
          <w:rFonts w:ascii="Arial" w:hAnsi="Arial" w:cs="Arial"/>
          <w:sz w:val="16"/>
          <w:szCs w:val="16"/>
          <w:lang w:val="en-US"/>
        </w:rPr>
      </w:pPr>
    </w:p>
    <w:p w:rsidR="003C2669" w:rsidRPr="00295799" w:rsidRDefault="003C2669" w:rsidP="003C2669">
      <w:pPr>
        <w:ind w:right="-2"/>
        <w:rPr>
          <w:rFonts w:ascii="Arial" w:hAnsi="Arial" w:cs="Arial"/>
          <w:sz w:val="16"/>
          <w:szCs w:val="16"/>
          <w:lang w:val="en-US"/>
        </w:rPr>
      </w:pPr>
      <w:r w:rsidRPr="00295799">
        <w:rPr>
          <w:rFonts w:ascii="Arial" w:hAnsi="Arial" w:cs="Arial"/>
          <w:sz w:val="16"/>
          <w:szCs w:val="16"/>
          <w:lang w:val="en-US"/>
        </w:rPr>
        <w:t xml:space="preserve">We combine deep local expertise and the most extensive presence in </w:t>
      </w:r>
      <w:smartTag w:uri="urn:schemas-microsoft-com:office:smarttags" w:element="place">
        <w:r w:rsidRPr="00295799">
          <w:rPr>
            <w:rFonts w:ascii="Arial" w:hAnsi="Arial" w:cs="Arial"/>
            <w:sz w:val="16"/>
            <w:szCs w:val="16"/>
            <w:lang w:val="en-US"/>
          </w:rPr>
          <w:t>Europe</w:t>
        </w:r>
      </w:smartTag>
      <w:r w:rsidRPr="00295799">
        <w:rPr>
          <w:rFonts w:ascii="Arial" w:hAnsi="Arial" w:cs="Arial"/>
          <w:sz w:val="16"/>
          <w:szCs w:val="16"/>
          <w:lang w:val="en-US"/>
        </w:rPr>
        <w:t xml:space="preserve"> with cross-border consistency and coordination.</w:t>
      </w:r>
    </w:p>
    <w:p w:rsidR="003C2669" w:rsidRPr="00295799" w:rsidRDefault="003C2669" w:rsidP="003C2669">
      <w:pPr>
        <w:ind w:right="-2"/>
        <w:rPr>
          <w:rFonts w:ascii="Arial" w:hAnsi="Arial" w:cs="Arial"/>
          <w:sz w:val="16"/>
          <w:szCs w:val="16"/>
          <w:lang w:val="en-US"/>
        </w:rPr>
      </w:pPr>
      <w:r w:rsidRPr="00295799">
        <w:rPr>
          <w:rFonts w:ascii="Arial" w:hAnsi="Arial" w:cs="Arial"/>
          <w:sz w:val="16"/>
          <w:szCs w:val="16"/>
          <w:lang w:val="en-US"/>
        </w:rPr>
        <w:t xml:space="preserve">CMS has a common culture and a shared heritage which make us distinctively European. CMS operates in </w:t>
      </w:r>
      <w:r w:rsidR="00F9243D" w:rsidRPr="00295799">
        <w:rPr>
          <w:rFonts w:ascii="Arial" w:hAnsi="Arial" w:cs="Arial"/>
          <w:sz w:val="16"/>
          <w:szCs w:val="16"/>
          <w:lang w:val="en-US"/>
        </w:rPr>
        <w:t>30</w:t>
      </w:r>
      <w:r w:rsidRPr="00295799">
        <w:rPr>
          <w:rFonts w:ascii="Arial" w:hAnsi="Arial" w:cs="Arial"/>
          <w:sz w:val="16"/>
          <w:szCs w:val="16"/>
          <w:lang w:val="en-US"/>
        </w:rPr>
        <w:t xml:space="preserve"> jurisdictions, with 5</w:t>
      </w:r>
      <w:r w:rsidR="00F9243D" w:rsidRPr="00295799">
        <w:rPr>
          <w:rFonts w:ascii="Arial" w:hAnsi="Arial" w:cs="Arial"/>
          <w:sz w:val="16"/>
          <w:szCs w:val="16"/>
          <w:lang w:val="en-US"/>
        </w:rPr>
        <w:t>4</w:t>
      </w:r>
      <w:r w:rsidRPr="00295799">
        <w:rPr>
          <w:rFonts w:ascii="Arial" w:hAnsi="Arial" w:cs="Arial"/>
          <w:sz w:val="16"/>
          <w:szCs w:val="16"/>
          <w:lang w:val="en-US"/>
        </w:rPr>
        <w:t xml:space="preserve"> offices in Western and Central Europe and beyond. CMS was established in 1999 and today comprises ni</w:t>
      </w:r>
      <w:r w:rsidR="007D253D" w:rsidRPr="00295799">
        <w:rPr>
          <w:rFonts w:ascii="Arial" w:hAnsi="Arial" w:cs="Arial"/>
          <w:sz w:val="16"/>
          <w:szCs w:val="16"/>
          <w:lang w:val="en-US"/>
        </w:rPr>
        <w:t>ne CMS firms, employing over 2,8</w:t>
      </w:r>
      <w:r w:rsidRPr="0029579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295799">
            <w:rPr>
              <w:rFonts w:ascii="Arial" w:hAnsi="Arial" w:cs="Arial"/>
              <w:sz w:val="16"/>
              <w:szCs w:val="16"/>
              <w:lang w:val="en-US"/>
            </w:rPr>
            <w:t>Frankfurt</w:t>
          </w:r>
        </w:smartTag>
        <w:r w:rsidRPr="00295799">
          <w:rPr>
            <w:rFonts w:ascii="Arial" w:hAnsi="Arial" w:cs="Arial"/>
            <w:sz w:val="16"/>
            <w:szCs w:val="16"/>
            <w:lang w:val="en-US"/>
          </w:rPr>
          <w:t xml:space="preserve">, </w:t>
        </w:r>
        <w:smartTag w:uri="urn:schemas-microsoft-com:office:smarttags" w:element="country-region">
          <w:r w:rsidRPr="00295799">
            <w:rPr>
              <w:rFonts w:ascii="Arial" w:hAnsi="Arial" w:cs="Arial"/>
              <w:sz w:val="16"/>
              <w:szCs w:val="16"/>
              <w:lang w:val="en-US"/>
            </w:rPr>
            <w:t>Germany</w:t>
          </w:r>
        </w:smartTag>
      </w:smartTag>
      <w:r w:rsidRPr="00295799">
        <w:rPr>
          <w:rFonts w:ascii="Arial" w:hAnsi="Arial" w:cs="Arial"/>
          <w:sz w:val="16"/>
          <w:szCs w:val="16"/>
          <w:lang w:val="en-US"/>
        </w:rPr>
        <w:t>.</w:t>
      </w:r>
    </w:p>
    <w:p w:rsidR="003C2669" w:rsidRPr="00295799" w:rsidRDefault="003C2669" w:rsidP="003C2669">
      <w:pPr>
        <w:ind w:right="-2"/>
        <w:rPr>
          <w:rFonts w:ascii="Arial" w:hAnsi="Arial" w:cs="Arial"/>
          <w:sz w:val="16"/>
          <w:szCs w:val="16"/>
          <w:lang w:val="en-US"/>
        </w:rPr>
      </w:pPr>
    </w:p>
    <w:p w:rsidR="003C2669" w:rsidRPr="00295799" w:rsidRDefault="003C2669" w:rsidP="003C2669">
      <w:pPr>
        <w:ind w:right="-2"/>
        <w:rPr>
          <w:rFonts w:ascii="Arial" w:hAnsi="Arial" w:cs="Arial"/>
          <w:sz w:val="16"/>
          <w:szCs w:val="16"/>
        </w:rPr>
      </w:pPr>
      <w:r w:rsidRPr="00295799">
        <w:rPr>
          <w:rFonts w:ascii="Arial" w:hAnsi="Arial" w:cs="Arial"/>
          <w:b/>
          <w:sz w:val="16"/>
          <w:szCs w:val="16"/>
          <w:lang w:val="en-US"/>
        </w:rPr>
        <w:t>CMS member firms are:</w:t>
      </w:r>
      <w:r w:rsidRPr="00295799">
        <w:rPr>
          <w:rFonts w:ascii="Arial" w:hAnsi="Arial" w:cs="Arial"/>
          <w:sz w:val="16"/>
          <w:szCs w:val="16"/>
          <w:lang w:val="en-US"/>
        </w:rPr>
        <w:t xml:space="preserve"> CMS </w:t>
      </w:r>
      <w:proofErr w:type="spellStart"/>
      <w:r w:rsidRPr="00295799">
        <w:rPr>
          <w:rFonts w:ascii="Arial" w:hAnsi="Arial" w:cs="Arial"/>
          <w:sz w:val="16"/>
          <w:szCs w:val="16"/>
          <w:lang w:val="en-US"/>
        </w:rPr>
        <w:t>Adonnino</w:t>
      </w:r>
      <w:proofErr w:type="spellEnd"/>
      <w:r w:rsidRPr="00295799">
        <w:rPr>
          <w:rFonts w:ascii="Arial" w:hAnsi="Arial" w:cs="Arial"/>
          <w:sz w:val="16"/>
          <w:szCs w:val="16"/>
          <w:lang w:val="en-US"/>
        </w:rPr>
        <w:t xml:space="preserve"> Ascoli &amp; </w:t>
      </w:r>
      <w:proofErr w:type="spellStart"/>
      <w:r w:rsidRPr="00295799">
        <w:rPr>
          <w:rFonts w:ascii="Arial" w:hAnsi="Arial" w:cs="Arial"/>
          <w:sz w:val="16"/>
          <w:szCs w:val="16"/>
          <w:lang w:val="en-US"/>
        </w:rPr>
        <w:t>Cavasola</w:t>
      </w:r>
      <w:proofErr w:type="spellEnd"/>
      <w:r w:rsidRPr="00295799">
        <w:rPr>
          <w:rFonts w:ascii="Arial" w:hAnsi="Arial" w:cs="Arial"/>
          <w:sz w:val="16"/>
          <w:szCs w:val="16"/>
          <w:lang w:val="en-US"/>
        </w:rPr>
        <w:t xml:space="preserve"> </w:t>
      </w:r>
      <w:proofErr w:type="spellStart"/>
      <w:r w:rsidRPr="00295799">
        <w:rPr>
          <w:rFonts w:ascii="Arial" w:hAnsi="Arial" w:cs="Arial"/>
          <w:sz w:val="16"/>
          <w:szCs w:val="16"/>
          <w:lang w:val="en-US"/>
        </w:rPr>
        <w:t>Scamoni</w:t>
      </w:r>
      <w:proofErr w:type="spellEnd"/>
      <w:r w:rsidRPr="00295799">
        <w:rPr>
          <w:rFonts w:ascii="Arial" w:hAnsi="Arial" w:cs="Arial"/>
          <w:sz w:val="16"/>
          <w:szCs w:val="16"/>
          <w:lang w:val="en-US"/>
        </w:rPr>
        <w:t xml:space="preserve"> (Italy); CMS </w:t>
      </w:r>
      <w:proofErr w:type="spellStart"/>
      <w:r w:rsidRPr="00295799">
        <w:rPr>
          <w:rFonts w:ascii="Arial" w:hAnsi="Arial" w:cs="Arial"/>
          <w:sz w:val="16"/>
          <w:szCs w:val="16"/>
          <w:lang w:val="en-US"/>
        </w:rPr>
        <w:t>Albiñana</w:t>
      </w:r>
      <w:proofErr w:type="spellEnd"/>
      <w:r w:rsidRPr="00295799">
        <w:rPr>
          <w:rFonts w:ascii="Arial" w:hAnsi="Arial" w:cs="Arial"/>
          <w:sz w:val="16"/>
          <w:szCs w:val="16"/>
          <w:lang w:val="en-US"/>
        </w:rPr>
        <w:t xml:space="preserve"> &amp; </w:t>
      </w:r>
      <w:proofErr w:type="spellStart"/>
      <w:r w:rsidRPr="00295799">
        <w:rPr>
          <w:rFonts w:ascii="Arial" w:hAnsi="Arial" w:cs="Arial"/>
          <w:sz w:val="16"/>
          <w:szCs w:val="16"/>
          <w:lang w:val="en-US"/>
        </w:rPr>
        <w:t>Suárez</w:t>
      </w:r>
      <w:proofErr w:type="spellEnd"/>
      <w:r w:rsidRPr="00295799">
        <w:rPr>
          <w:rFonts w:ascii="Arial" w:hAnsi="Arial" w:cs="Arial"/>
          <w:sz w:val="16"/>
          <w:szCs w:val="16"/>
          <w:lang w:val="en-US"/>
        </w:rPr>
        <w:t xml:space="preserve"> de </w:t>
      </w:r>
      <w:proofErr w:type="spellStart"/>
      <w:r w:rsidRPr="00295799">
        <w:rPr>
          <w:rFonts w:ascii="Arial" w:hAnsi="Arial" w:cs="Arial"/>
          <w:sz w:val="16"/>
          <w:szCs w:val="16"/>
          <w:lang w:val="en-US"/>
        </w:rPr>
        <w:t>Lezo</w:t>
      </w:r>
      <w:proofErr w:type="spellEnd"/>
      <w:r w:rsidRPr="00295799">
        <w:rPr>
          <w:rFonts w:ascii="Arial" w:hAnsi="Arial" w:cs="Arial"/>
          <w:sz w:val="16"/>
          <w:szCs w:val="16"/>
          <w:lang w:val="en-US"/>
        </w:rPr>
        <w:t xml:space="preserve">, S.L.P. (Spain); CMS Bureau Francis Lefebvre (France); CMS Cameron McKenna LLP (UK); CMS </w:t>
      </w:r>
      <w:proofErr w:type="spellStart"/>
      <w:r w:rsidRPr="00295799">
        <w:rPr>
          <w:rFonts w:ascii="Arial" w:hAnsi="Arial" w:cs="Arial"/>
          <w:sz w:val="16"/>
          <w:szCs w:val="16"/>
          <w:lang w:val="en-US"/>
        </w:rPr>
        <w:t>DeBacker</w:t>
      </w:r>
      <w:proofErr w:type="spellEnd"/>
      <w:r w:rsidR="00143F93" w:rsidRPr="00295799">
        <w:rPr>
          <w:rFonts w:ascii="Arial" w:hAnsi="Arial" w:cs="Arial"/>
          <w:sz w:val="16"/>
          <w:szCs w:val="16"/>
          <w:lang w:val="en-US"/>
        </w:rPr>
        <w:t xml:space="preserve"> </w:t>
      </w:r>
      <w:proofErr w:type="spellStart"/>
      <w:r w:rsidR="00143F93" w:rsidRPr="00295799">
        <w:rPr>
          <w:rFonts w:ascii="Arial" w:hAnsi="Arial" w:cs="Arial"/>
          <w:sz w:val="16"/>
          <w:szCs w:val="16"/>
          <w:lang w:val="en-US"/>
        </w:rPr>
        <w:t>Leclère</w:t>
      </w:r>
      <w:proofErr w:type="spellEnd"/>
      <w:r w:rsidR="00143F93" w:rsidRPr="00295799">
        <w:rPr>
          <w:rFonts w:ascii="Arial" w:hAnsi="Arial" w:cs="Arial"/>
          <w:sz w:val="16"/>
          <w:szCs w:val="16"/>
          <w:lang w:val="en-US"/>
        </w:rPr>
        <w:t xml:space="preserve"> </w:t>
      </w:r>
      <w:proofErr w:type="spellStart"/>
      <w:r w:rsidR="00143F93" w:rsidRPr="00295799">
        <w:rPr>
          <w:rFonts w:ascii="Arial" w:hAnsi="Arial" w:cs="Arial"/>
          <w:sz w:val="16"/>
          <w:szCs w:val="16"/>
          <w:lang w:val="en-US"/>
        </w:rPr>
        <w:t>Walry</w:t>
      </w:r>
      <w:proofErr w:type="spellEnd"/>
      <w:r w:rsidRPr="00295799">
        <w:rPr>
          <w:rFonts w:ascii="Arial" w:hAnsi="Arial" w:cs="Arial"/>
          <w:sz w:val="16"/>
          <w:szCs w:val="16"/>
          <w:lang w:val="en-US"/>
        </w:rPr>
        <w:t xml:space="preserve"> (Belgium); CMS </w:t>
      </w:r>
      <w:proofErr w:type="spellStart"/>
      <w:r w:rsidRPr="00295799">
        <w:rPr>
          <w:rFonts w:ascii="Arial" w:hAnsi="Arial" w:cs="Arial"/>
          <w:sz w:val="16"/>
          <w:szCs w:val="16"/>
          <w:lang w:val="en-US"/>
        </w:rPr>
        <w:t>Derks</w:t>
      </w:r>
      <w:proofErr w:type="spellEnd"/>
      <w:r w:rsidRPr="00295799">
        <w:rPr>
          <w:rFonts w:ascii="Arial" w:hAnsi="Arial" w:cs="Arial"/>
          <w:sz w:val="16"/>
          <w:szCs w:val="16"/>
          <w:lang w:val="en-US"/>
        </w:rPr>
        <w:t xml:space="preserve"> Star </w:t>
      </w:r>
      <w:proofErr w:type="spellStart"/>
      <w:r w:rsidRPr="00295799">
        <w:rPr>
          <w:rFonts w:ascii="Arial" w:hAnsi="Arial" w:cs="Arial"/>
          <w:sz w:val="16"/>
          <w:szCs w:val="16"/>
          <w:lang w:val="en-US"/>
        </w:rPr>
        <w:t>Busmann</w:t>
      </w:r>
      <w:proofErr w:type="spellEnd"/>
      <w:r w:rsidRPr="00295799">
        <w:rPr>
          <w:rFonts w:ascii="Arial" w:hAnsi="Arial" w:cs="Arial"/>
          <w:sz w:val="16"/>
          <w:szCs w:val="16"/>
          <w:lang w:val="en-US"/>
        </w:rPr>
        <w:t xml:space="preserve"> (The Netherlands); CMS von </w:t>
      </w:r>
      <w:proofErr w:type="spellStart"/>
      <w:r w:rsidRPr="00295799">
        <w:rPr>
          <w:rFonts w:ascii="Arial" w:hAnsi="Arial" w:cs="Arial"/>
          <w:sz w:val="16"/>
          <w:szCs w:val="16"/>
          <w:lang w:val="en-US"/>
        </w:rPr>
        <w:t>Erlach</w:t>
      </w:r>
      <w:proofErr w:type="spellEnd"/>
      <w:r w:rsidRPr="00295799">
        <w:rPr>
          <w:rFonts w:ascii="Arial" w:hAnsi="Arial" w:cs="Arial"/>
          <w:sz w:val="16"/>
          <w:szCs w:val="16"/>
          <w:lang w:val="en-US"/>
        </w:rPr>
        <w:t xml:space="preserve"> </w:t>
      </w:r>
      <w:proofErr w:type="spellStart"/>
      <w:r w:rsidRPr="00295799">
        <w:rPr>
          <w:rFonts w:ascii="Arial" w:hAnsi="Arial" w:cs="Arial"/>
          <w:sz w:val="16"/>
          <w:szCs w:val="16"/>
          <w:lang w:val="en-US"/>
        </w:rPr>
        <w:t>Henrici</w:t>
      </w:r>
      <w:proofErr w:type="spellEnd"/>
      <w:r w:rsidRPr="00295799">
        <w:rPr>
          <w:rFonts w:ascii="Arial" w:hAnsi="Arial" w:cs="Arial"/>
          <w:sz w:val="16"/>
          <w:szCs w:val="16"/>
          <w:lang w:val="en-US"/>
        </w:rPr>
        <w:t xml:space="preserve"> Ltd. </w:t>
      </w:r>
      <w:r w:rsidRPr="00295799">
        <w:rPr>
          <w:rFonts w:ascii="Arial" w:hAnsi="Arial" w:cs="Arial"/>
          <w:sz w:val="16"/>
          <w:szCs w:val="16"/>
        </w:rPr>
        <w:t>(Switzerland); CMS Hasche Sigle (Germany) and CMS Reich-Rohrwig Hainz Rechtsanwälte GmbH (Austria).</w:t>
      </w:r>
    </w:p>
    <w:p w:rsidR="003C2669" w:rsidRPr="00295799" w:rsidRDefault="003C2669" w:rsidP="003C2669">
      <w:pPr>
        <w:ind w:right="-2"/>
        <w:rPr>
          <w:rFonts w:ascii="Arial" w:hAnsi="Arial" w:cs="Arial"/>
          <w:sz w:val="16"/>
          <w:szCs w:val="16"/>
        </w:rPr>
      </w:pPr>
    </w:p>
    <w:p w:rsidR="003C2669" w:rsidRPr="00295799" w:rsidRDefault="003C2669" w:rsidP="003C2669">
      <w:pPr>
        <w:ind w:right="-2"/>
        <w:rPr>
          <w:rFonts w:ascii="Arial" w:hAnsi="Arial" w:cs="Arial"/>
          <w:sz w:val="16"/>
          <w:szCs w:val="16"/>
        </w:rPr>
      </w:pPr>
      <w:r w:rsidRPr="00295799">
        <w:rPr>
          <w:rFonts w:ascii="Arial" w:hAnsi="Arial" w:cs="Arial"/>
          <w:b/>
          <w:sz w:val="16"/>
          <w:szCs w:val="16"/>
        </w:rPr>
        <w:lastRenderedPageBreak/>
        <w:t>CMS offices and associated offices:</w:t>
      </w:r>
      <w:r w:rsidRPr="00295799">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295799">
        <w:rPr>
          <w:rFonts w:ascii="Arial" w:hAnsi="Arial" w:cs="Arial"/>
          <w:sz w:val="16"/>
          <w:szCs w:val="16"/>
        </w:rPr>
        <w:t>s</w:t>
      </w:r>
      <w:r w:rsidRPr="00295799">
        <w:rPr>
          <w:rFonts w:ascii="Arial" w:hAnsi="Arial" w:cs="Arial"/>
          <w:sz w:val="16"/>
          <w:szCs w:val="16"/>
        </w:rPr>
        <w:t xml:space="preserve">seldorf, Edinburgh, Frankfurt, Hamburg, </w:t>
      </w:r>
      <w:proofErr w:type="spellStart"/>
      <w:r w:rsidRPr="00295799">
        <w:rPr>
          <w:rFonts w:ascii="Arial" w:hAnsi="Arial" w:cs="Arial"/>
          <w:sz w:val="16"/>
          <w:szCs w:val="16"/>
        </w:rPr>
        <w:t>Kyiv</w:t>
      </w:r>
      <w:proofErr w:type="spellEnd"/>
      <w:r w:rsidRPr="00295799">
        <w:rPr>
          <w:rFonts w:ascii="Arial" w:hAnsi="Arial" w:cs="Arial"/>
          <w:sz w:val="16"/>
          <w:szCs w:val="16"/>
        </w:rPr>
        <w:t>, Leipzig, Ljubljana,</w:t>
      </w:r>
      <w:r w:rsidR="007D253D" w:rsidRPr="00295799">
        <w:rPr>
          <w:rFonts w:ascii="Arial" w:hAnsi="Arial" w:cs="Arial"/>
          <w:sz w:val="16"/>
          <w:szCs w:val="16"/>
        </w:rPr>
        <w:t xml:space="preserve"> Luxembourg,</w:t>
      </w:r>
      <w:r w:rsidRPr="00295799">
        <w:rPr>
          <w:rFonts w:ascii="Arial" w:hAnsi="Arial" w:cs="Arial"/>
          <w:sz w:val="16"/>
          <w:szCs w:val="16"/>
        </w:rPr>
        <w:t xml:space="preserve"> Lyon, Marbella, Milan, Montevideo, </w:t>
      </w:r>
      <w:proofErr w:type="spellStart"/>
      <w:r w:rsidRPr="00295799">
        <w:rPr>
          <w:rFonts w:ascii="Arial" w:hAnsi="Arial" w:cs="Arial"/>
          <w:sz w:val="16"/>
          <w:szCs w:val="16"/>
        </w:rPr>
        <w:t>Moscow</w:t>
      </w:r>
      <w:proofErr w:type="spellEnd"/>
      <w:r w:rsidRPr="00295799">
        <w:rPr>
          <w:rFonts w:ascii="Arial" w:hAnsi="Arial" w:cs="Arial"/>
          <w:sz w:val="16"/>
          <w:szCs w:val="16"/>
        </w:rPr>
        <w:t xml:space="preserve">, </w:t>
      </w:r>
      <w:proofErr w:type="spellStart"/>
      <w:r w:rsidRPr="00295799">
        <w:rPr>
          <w:rFonts w:ascii="Arial" w:hAnsi="Arial" w:cs="Arial"/>
          <w:sz w:val="16"/>
          <w:szCs w:val="16"/>
        </w:rPr>
        <w:t>Munich</w:t>
      </w:r>
      <w:proofErr w:type="spellEnd"/>
      <w:r w:rsidRPr="00295799">
        <w:rPr>
          <w:rFonts w:ascii="Arial" w:hAnsi="Arial" w:cs="Arial"/>
          <w:sz w:val="16"/>
          <w:szCs w:val="16"/>
        </w:rPr>
        <w:t xml:space="preserve">, </w:t>
      </w:r>
      <w:proofErr w:type="spellStart"/>
      <w:r w:rsidRPr="00295799">
        <w:rPr>
          <w:rFonts w:ascii="Arial" w:hAnsi="Arial" w:cs="Arial"/>
          <w:sz w:val="16"/>
          <w:szCs w:val="16"/>
        </w:rPr>
        <w:t>Prague</w:t>
      </w:r>
      <w:proofErr w:type="spellEnd"/>
      <w:r w:rsidRPr="00295799">
        <w:rPr>
          <w:rFonts w:ascii="Arial" w:hAnsi="Arial" w:cs="Arial"/>
          <w:sz w:val="16"/>
          <w:szCs w:val="16"/>
        </w:rPr>
        <w:t xml:space="preserve">, </w:t>
      </w:r>
      <w:r w:rsidR="0005630C" w:rsidRPr="00295799">
        <w:rPr>
          <w:rFonts w:ascii="Arial" w:hAnsi="Arial" w:cs="Arial"/>
          <w:sz w:val="16"/>
          <w:szCs w:val="16"/>
        </w:rPr>
        <w:t xml:space="preserve">Rio de Janeiro, </w:t>
      </w:r>
      <w:r w:rsidRPr="00295799">
        <w:rPr>
          <w:rFonts w:ascii="Arial" w:hAnsi="Arial" w:cs="Arial"/>
          <w:sz w:val="16"/>
          <w:szCs w:val="16"/>
        </w:rPr>
        <w:t xml:space="preserve">Sarajevo, </w:t>
      </w:r>
      <w:proofErr w:type="spellStart"/>
      <w:r w:rsidRPr="00295799">
        <w:rPr>
          <w:rFonts w:ascii="Arial" w:hAnsi="Arial" w:cs="Arial"/>
          <w:sz w:val="16"/>
          <w:szCs w:val="16"/>
        </w:rPr>
        <w:t>Seville</w:t>
      </w:r>
      <w:proofErr w:type="spellEnd"/>
      <w:r w:rsidRPr="00295799">
        <w:rPr>
          <w:rFonts w:ascii="Arial" w:hAnsi="Arial" w:cs="Arial"/>
          <w:sz w:val="16"/>
          <w:szCs w:val="16"/>
        </w:rPr>
        <w:t>, Shanghai, Sofia, Strasbourg, Stuttgart, Utrecht, Warsaw and Zagreb.</w:t>
      </w:r>
    </w:p>
    <w:p w:rsidR="003E72CD" w:rsidRPr="00295799" w:rsidRDefault="003E72CD" w:rsidP="003C2669">
      <w:pPr>
        <w:ind w:right="-2"/>
        <w:rPr>
          <w:rFonts w:ascii="Arial" w:hAnsi="Arial" w:cs="Arial"/>
          <w:sz w:val="16"/>
          <w:szCs w:val="16"/>
        </w:rPr>
      </w:pPr>
    </w:p>
    <w:sectPr w:rsidR="003E72CD" w:rsidRPr="00295799"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799" w:rsidRDefault="00295799">
      <w:r>
        <w:separator/>
      </w:r>
    </w:p>
  </w:endnote>
  <w:endnote w:type="continuationSeparator" w:id="0">
    <w:p w:rsidR="00295799" w:rsidRDefault="0029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799" w:rsidRDefault="00295799">
      <w:r>
        <w:separator/>
      </w:r>
    </w:p>
  </w:footnote>
  <w:footnote w:type="continuationSeparator" w:id="0">
    <w:p w:rsidR="00295799" w:rsidRDefault="0029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0479EF">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1D40"/>
    <w:multiLevelType w:val="hybridMultilevel"/>
    <w:tmpl w:val="D47675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E568A9"/>
    <w:multiLevelType w:val="hybridMultilevel"/>
    <w:tmpl w:val="AE7EB32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1A538A9"/>
    <w:multiLevelType w:val="hybridMultilevel"/>
    <w:tmpl w:val="F74CD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3D249CA"/>
    <w:multiLevelType w:val="hybridMultilevel"/>
    <w:tmpl w:val="102CB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99"/>
    <w:rsid w:val="00002B33"/>
    <w:rsid w:val="00015F2D"/>
    <w:rsid w:val="00023B59"/>
    <w:rsid w:val="0004226C"/>
    <w:rsid w:val="00045898"/>
    <w:rsid w:val="000479EF"/>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95799"/>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76FE2"/>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243D"/>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paragraph" w:styleId="NurText">
    <w:name w:val="Plain Text"/>
    <w:basedOn w:val="Standard"/>
    <w:link w:val="NurTextZchn"/>
    <w:rsid w:val="00295799"/>
    <w:pPr>
      <w:jc w:val="left"/>
    </w:pPr>
    <w:rPr>
      <w:rFonts w:ascii="Verdana" w:eastAsia="MS Mincho" w:hAnsi="Verdana"/>
      <w:snapToGrid w:val="0"/>
      <w:sz w:val="20"/>
      <w:lang w:eastAsia="ja-JP"/>
    </w:rPr>
  </w:style>
  <w:style w:type="character" w:customStyle="1" w:styleId="NurTextZchn">
    <w:name w:val="Nur Text Zchn"/>
    <w:basedOn w:val="Absatz-Standardschriftart"/>
    <w:link w:val="NurText"/>
    <w:rsid w:val="00295799"/>
    <w:rPr>
      <w:rFonts w:ascii="Verdana" w:eastAsia="MS Mincho" w:hAnsi="Verdana"/>
      <w:snapToGrid w:val="0"/>
      <w:lang w:eastAsia="ja-JP"/>
    </w:rPr>
  </w:style>
  <w:style w:type="paragraph" w:customStyle="1" w:styleId="ListParagraph">
    <w:name w:val="List Paragraph"/>
    <w:basedOn w:val="Standard"/>
    <w:rsid w:val="00295799"/>
    <w:pPr>
      <w:ind w:left="720"/>
      <w:contextualSpacing/>
      <w:jc w:val="left"/>
    </w:pPr>
    <w:rPr>
      <w:rFonts w:eastAsia="MS Mincho"/>
      <w:snapToGrid w:val="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 w:type="paragraph" w:styleId="NurText">
    <w:name w:val="Plain Text"/>
    <w:basedOn w:val="Standard"/>
    <w:link w:val="NurTextZchn"/>
    <w:rsid w:val="00295799"/>
    <w:pPr>
      <w:jc w:val="left"/>
    </w:pPr>
    <w:rPr>
      <w:rFonts w:ascii="Verdana" w:eastAsia="MS Mincho" w:hAnsi="Verdana"/>
      <w:snapToGrid w:val="0"/>
      <w:sz w:val="20"/>
      <w:lang w:eastAsia="ja-JP"/>
    </w:rPr>
  </w:style>
  <w:style w:type="character" w:customStyle="1" w:styleId="NurTextZchn">
    <w:name w:val="Nur Text Zchn"/>
    <w:basedOn w:val="Absatz-Standardschriftart"/>
    <w:link w:val="NurText"/>
    <w:rsid w:val="00295799"/>
    <w:rPr>
      <w:rFonts w:ascii="Verdana" w:eastAsia="MS Mincho" w:hAnsi="Verdana"/>
      <w:snapToGrid w:val="0"/>
      <w:lang w:eastAsia="ja-JP"/>
    </w:rPr>
  </w:style>
  <w:style w:type="paragraph" w:customStyle="1" w:styleId="ListParagraph">
    <w:name w:val="List Paragraph"/>
    <w:basedOn w:val="Standard"/>
    <w:rsid w:val="00295799"/>
    <w:pPr>
      <w:ind w:left="720"/>
      <w:contextualSpacing/>
      <w:jc w:val="left"/>
    </w:pPr>
    <w:rPr>
      <w:rFonts w:eastAsia="MS Mincho"/>
      <w:snapToGrid w:val="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4</Pages>
  <Words>1544</Words>
  <Characters>8477</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10001</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Breitenecker Christoph</dc:creator>
  <cp:lastModifiedBy>Breitenecker Christoph</cp:lastModifiedBy>
  <cp:revision>2</cp:revision>
  <cp:lastPrinted>2006-09-04T11:12:00Z</cp:lastPrinted>
  <dcterms:created xsi:type="dcterms:W3CDTF">2011-06-23T08:54:00Z</dcterms:created>
  <dcterms:modified xsi:type="dcterms:W3CDTF">2011-06-23T08:58:00Z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