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E2" w:rsidRDefault="002D43E2"/>
    <w:tbl>
      <w:tblPr>
        <w:tblStyle w:val="Tabellenraster"/>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1384"/>
        <w:gridCol w:w="4394"/>
        <w:gridCol w:w="1276"/>
        <w:gridCol w:w="2267"/>
      </w:tblGrid>
      <w:tr w:rsidR="002D43E2" w:rsidRPr="007969D6" w:rsidTr="000151E1">
        <w:trPr>
          <w:trHeight w:val="1045"/>
        </w:trPr>
        <w:tc>
          <w:tcPr>
            <w:tcW w:w="5778" w:type="dxa"/>
            <w:gridSpan w:val="2"/>
          </w:tcPr>
          <w:p w:rsidR="002D43E2" w:rsidRPr="002D43E2" w:rsidRDefault="002D43E2" w:rsidP="002D43E2">
            <w:pPr>
              <w:spacing w:before="0" w:after="0" w:line="240" w:lineRule="auto"/>
              <w:rPr>
                <w:rFonts w:ascii="Arial" w:hAnsi="Arial" w:cs="Arial"/>
                <w:b/>
                <w:sz w:val="40"/>
                <w:szCs w:val="40"/>
                <w:lang w:val="de-DE"/>
              </w:rPr>
            </w:pPr>
            <w:r>
              <w:rPr>
                <w:rFonts w:ascii="Arial" w:hAnsi="Arial" w:cs="Arial"/>
                <w:b/>
                <w:sz w:val="40"/>
                <w:szCs w:val="40"/>
                <w:lang w:val="de-DE"/>
              </w:rPr>
              <w:t>PRESS RELEASE</w:t>
            </w:r>
          </w:p>
        </w:tc>
        <w:tc>
          <w:tcPr>
            <w:tcW w:w="1276" w:type="dxa"/>
          </w:tcPr>
          <w:p w:rsidR="002D43E2" w:rsidRDefault="002D43E2" w:rsidP="00EC764B">
            <w:pPr>
              <w:shd w:val="solid" w:color="FFFFFF" w:fill="FFFFFF"/>
              <w:spacing w:before="0" w:line="220" w:lineRule="exact"/>
              <w:rPr>
                <w:rFonts w:ascii="Arial" w:hAnsi="Arial" w:cs="Arial"/>
                <w:b/>
                <w:color w:val="000000" w:themeColor="text1"/>
                <w:sz w:val="15"/>
                <w:szCs w:val="15"/>
                <w:lang w:val="de-AT"/>
              </w:rPr>
            </w:pPr>
          </w:p>
        </w:tc>
        <w:tc>
          <w:tcPr>
            <w:tcW w:w="2267" w:type="dxa"/>
            <w:vMerge w:val="restart"/>
          </w:tcPr>
          <w:p w:rsidR="002D43E2" w:rsidRPr="007969D6" w:rsidRDefault="002D43E2" w:rsidP="00EC764B">
            <w:pPr>
              <w:shd w:val="solid" w:color="FFFFFF" w:fill="FFFFFF"/>
              <w:spacing w:before="0" w:line="220" w:lineRule="exact"/>
              <w:rPr>
                <w:rFonts w:ascii="Arial" w:hAnsi="Arial" w:cs="Arial"/>
                <w:b/>
                <w:color w:val="000000" w:themeColor="text1"/>
                <w:sz w:val="15"/>
                <w:szCs w:val="15"/>
                <w:lang w:val="de-AT"/>
              </w:rPr>
            </w:pPr>
            <w:r w:rsidRPr="007969D6">
              <w:rPr>
                <w:rFonts w:ascii="Arial" w:hAnsi="Arial" w:cs="Arial"/>
                <w:b/>
                <w:color w:val="000000" w:themeColor="text1"/>
                <w:sz w:val="15"/>
                <w:szCs w:val="15"/>
                <w:lang w:val="de-AT"/>
              </w:rPr>
              <w:t>CMS Reich-Rohrwig Hainz</w:t>
            </w:r>
            <w:r w:rsidRPr="007969D6">
              <w:rPr>
                <w:rFonts w:ascii="Arial" w:hAnsi="Arial" w:cs="Arial"/>
                <w:b/>
                <w:color w:val="000000" w:themeColor="text1"/>
                <w:sz w:val="15"/>
                <w:szCs w:val="15"/>
                <w:lang w:val="de-AT"/>
              </w:rPr>
              <w:br/>
              <w:t>Rechtsanwälte GmbH</w:t>
            </w:r>
          </w:p>
          <w:p w:rsidR="002D43E2" w:rsidRPr="007969D6" w:rsidRDefault="002D43E2" w:rsidP="00EC764B">
            <w:pPr>
              <w:shd w:val="solid" w:color="FFFFFF" w:fill="FFFFFF"/>
              <w:spacing w:before="0" w:after="0" w:line="220" w:lineRule="exact"/>
              <w:rPr>
                <w:rFonts w:ascii="Arial" w:hAnsi="Arial" w:cs="Arial"/>
                <w:color w:val="000000" w:themeColor="text1"/>
                <w:sz w:val="15"/>
                <w:szCs w:val="15"/>
                <w:lang w:val="de-AT"/>
              </w:rPr>
            </w:pPr>
            <w:r w:rsidRPr="007969D6">
              <w:rPr>
                <w:rFonts w:ascii="Arial" w:hAnsi="Arial" w:cs="Arial"/>
                <w:color w:val="000000" w:themeColor="text1"/>
                <w:sz w:val="15"/>
                <w:szCs w:val="15"/>
                <w:lang w:val="de-AT"/>
              </w:rPr>
              <w:t>Gauermanngasse 2</w:t>
            </w:r>
          </w:p>
          <w:p w:rsidR="002D43E2" w:rsidRPr="007969D6" w:rsidRDefault="002D43E2" w:rsidP="00EC764B">
            <w:pPr>
              <w:shd w:val="solid" w:color="FFFFFF" w:fill="FFFFFF"/>
              <w:spacing w:before="0" w:after="0" w:line="220" w:lineRule="exact"/>
              <w:rPr>
                <w:rFonts w:ascii="Arial" w:hAnsi="Arial" w:cs="Arial"/>
                <w:color w:val="000000" w:themeColor="text1"/>
                <w:sz w:val="15"/>
                <w:szCs w:val="15"/>
                <w:lang w:val="de-AT"/>
              </w:rPr>
            </w:pPr>
            <w:r w:rsidRPr="007969D6">
              <w:rPr>
                <w:rFonts w:ascii="Arial" w:hAnsi="Arial" w:cs="Arial"/>
                <w:color w:val="000000" w:themeColor="text1"/>
                <w:sz w:val="15"/>
                <w:szCs w:val="15"/>
                <w:lang w:val="de-AT"/>
              </w:rPr>
              <w:t>1010 Vienna</w:t>
            </w:r>
          </w:p>
          <w:p w:rsidR="002D43E2" w:rsidRPr="007969D6" w:rsidRDefault="002D43E2" w:rsidP="00EC764B">
            <w:pPr>
              <w:shd w:val="solid" w:color="FFFFFF" w:fill="FFFFFF"/>
              <w:spacing w:before="0" w:line="220" w:lineRule="exact"/>
              <w:rPr>
                <w:rFonts w:ascii="Arial" w:hAnsi="Arial" w:cs="Arial"/>
                <w:color w:val="000000" w:themeColor="text1"/>
                <w:sz w:val="15"/>
                <w:szCs w:val="15"/>
                <w:lang w:val="de-AT"/>
              </w:rPr>
            </w:pPr>
            <w:r w:rsidRPr="007969D6">
              <w:rPr>
                <w:rFonts w:ascii="Arial" w:hAnsi="Arial" w:cs="Arial"/>
                <w:color w:val="000000" w:themeColor="text1"/>
                <w:sz w:val="15"/>
                <w:szCs w:val="15"/>
                <w:lang w:val="de-AT"/>
              </w:rPr>
              <w:t>Austria</w:t>
            </w:r>
          </w:p>
          <w:p w:rsidR="002D43E2" w:rsidRPr="007969D6" w:rsidRDefault="002D43E2" w:rsidP="00EC764B">
            <w:pPr>
              <w:shd w:val="solid" w:color="FFFFFF" w:fill="FFFFFF"/>
              <w:spacing w:before="0" w:after="0" w:line="220" w:lineRule="exact"/>
              <w:rPr>
                <w:rFonts w:ascii="Arial" w:hAnsi="Arial" w:cs="Arial"/>
                <w:color w:val="000000" w:themeColor="text1"/>
                <w:sz w:val="15"/>
                <w:szCs w:val="15"/>
                <w:lang w:val="de-AT"/>
              </w:rPr>
            </w:pPr>
            <w:r w:rsidRPr="007969D6">
              <w:rPr>
                <w:rFonts w:ascii="Arial" w:hAnsi="Arial" w:cs="Arial"/>
                <w:b/>
                <w:bCs/>
                <w:color w:val="000000" w:themeColor="text1"/>
                <w:sz w:val="15"/>
                <w:szCs w:val="15"/>
                <w:lang w:val="de-AT"/>
              </w:rPr>
              <w:t xml:space="preserve">T </w:t>
            </w:r>
            <w:r w:rsidRPr="007969D6">
              <w:rPr>
                <w:rFonts w:ascii="Arial" w:hAnsi="Arial" w:cs="Arial"/>
                <w:color w:val="000000" w:themeColor="text1"/>
                <w:sz w:val="15"/>
                <w:szCs w:val="15"/>
                <w:lang w:val="de-AT"/>
              </w:rPr>
              <w:t>+43 1 40443-4000</w:t>
            </w:r>
          </w:p>
          <w:p w:rsidR="002D43E2" w:rsidRPr="007969D6" w:rsidRDefault="002D43E2" w:rsidP="00EC764B">
            <w:pPr>
              <w:shd w:val="solid" w:color="FFFFFF" w:fill="FFFFFF"/>
              <w:spacing w:before="0" w:after="0" w:line="220" w:lineRule="exact"/>
              <w:rPr>
                <w:rFonts w:ascii="Arial" w:hAnsi="Arial" w:cs="Arial"/>
                <w:color w:val="000000" w:themeColor="text1"/>
                <w:sz w:val="15"/>
                <w:szCs w:val="15"/>
                <w:lang w:val="de-AT"/>
              </w:rPr>
            </w:pPr>
            <w:r w:rsidRPr="007969D6">
              <w:rPr>
                <w:rFonts w:ascii="Arial" w:hAnsi="Arial" w:cs="Arial"/>
                <w:b/>
                <w:bCs/>
                <w:color w:val="000000" w:themeColor="text1"/>
                <w:sz w:val="15"/>
                <w:szCs w:val="15"/>
                <w:lang w:val="de-AT"/>
              </w:rPr>
              <w:t xml:space="preserve">F </w:t>
            </w:r>
            <w:r w:rsidRPr="007969D6">
              <w:rPr>
                <w:rFonts w:ascii="Arial" w:hAnsi="Arial" w:cs="Arial"/>
                <w:color w:val="000000" w:themeColor="text1"/>
                <w:sz w:val="15"/>
                <w:szCs w:val="15"/>
                <w:lang w:val="de-AT"/>
              </w:rPr>
              <w:t>+43 1 40443-94000</w:t>
            </w:r>
          </w:p>
          <w:p w:rsidR="002D43E2" w:rsidRPr="007969D6" w:rsidRDefault="002D43E2" w:rsidP="00EC764B">
            <w:pPr>
              <w:shd w:val="solid" w:color="FFFFFF" w:fill="FFFFFF"/>
              <w:spacing w:before="0" w:line="220" w:lineRule="exact"/>
              <w:rPr>
                <w:rFonts w:ascii="Arial" w:hAnsi="Arial" w:cs="Arial"/>
                <w:bCs/>
                <w:color w:val="000000" w:themeColor="text1"/>
                <w:sz w:val="15"/>
                <w:szCs w:val="15"/>
                <w:lang w:val="de-AT"/>
              </w:rPr>
            </w:pPr>
            <w:r w:rsidRPr="007969D6">
              <w:rPr>
                <w:rFonts w:ascii="Arial" w:hAnsi="Arial" w:cs="Arial"/>
                <w:b/>
                <w:bCs/>
                <w:color w:val="000000" w:themeColor="text1"/>
                <w:sz w:val="15"/>
                <w:szCs w:val="15"/>
                <w:lang w:val="de-AT"/>
              </w:rPr>
              <w:t xml:space="preserve">E </w:t>
            </w:r>
            <w:r w:rsidRPr="007969D6">
              <w:rPr>
                <w:rFonts w:ascii="Arial" w:hAnsi="Arial" w:cs="Arial"/>
                <w:bCs/>
                <w:color w:val="000000" w:themeColor="text1"/>
                <w:sz w:val="15"/>
                <w:szCs w:val="15"/>
                <w:lang w:val="de-AT"/>
              </w:rPr>
              <w:t>presse@cms-rrh.com</w:t>
            </w:r>
          </w:p>
          <w:p w:rsidR="002D43E2" w:rsidRPr="007969D6" w:rsidRDefault="002D43E2" w:rsidP="00EC764B">
            <w:pPr>
              <w:shd w:val="solid" w:color="FFFFFF" w:fill="FFFFFF"/>
              <w:spacing w:before="0" w:line="220" w:lineRule="exact"/>
              <w:rPr>
                <w:rFonts w:ascii="Arial" w:hAnsi="Arial" w:cs="Arial"/>
                <w:bCs/>
                <w:color w:val="000000" w:themeColor="text1"/>
                <w:sz w:val="15"/>
                <w:szCs w:val="15"/>
                <w:lang w:val="de-AT"/>
              </w:rPr>
            </w:pPr>
            <w:r w:rsidRPr="007969D6">
              <w:rPr>
                <w:rFonts w:ascii="Arial" w:hAnsi="Arial" w:cs="Arial"/>
                <w:bCs/>
                <w:color w:val="000000" w:themeColor="text1"/>
                <w:sz w:val="15"/>
                <w:szCs w:val="15"/>
                <w:lang w:val="de-AT"/>
              </w:rPr>
              <w:t>www.cms-rrh.com</w:t>
            </w:r>
          </w:p>
        </w:tc>
      </w:tr>
      <w:tr w:rsidR="002D43E2" w:rsidRPr="00F62516" w:rsidTr="002D43E2">
        <w:tblPrEx>
          <w:tblLook w:val="04A0" w:firstRow="1" w:lastRow="0" w:firstColumn="1" w:lastColumn="0" w:noHBand="0" w:noVBand="1"/>
        </w:tblPrEx>
        <w:trPr>
          <w:trHeight w:val="340"/>
        </w:trPr>
        <w:tc>
          <w:tcPr>
            <w:tcW w:w="1384" w:type="dxa"/>
            <w:tcBorders>
              <w:bottom w:val="dashSmallGap" w:sz="4" w:space="0" w:color="auto"/>
            </w:tcBorders>
            <w:vAlign w:val="center"/>
          </w:tcPr>
          <w:p w:rsidR="002D43E2" w:rsidRPr="00F62516" w:rsidRDefault="002D43E2" w:rsidP="00EC764B">
            <w:pPr>
              <w:spacing w:before="0"/>
              <w:rPr>
                <w:rFonts w:ascii="Arial" w:hAnsi="Arial" w:cs="Arial"/>
                <w:b/>
                <w:sz w:val="18"/>
                <w:szCs w:val="18"/>
              </w:rPr>
            </w:pPr>
            <w:r w:rsidRPr="00F62516">
              <w:rPr>
                <w:rFonts w:ascii="Arial" w:hAnsi="Arial" w:cs="Arial"/>
                <w:b/>
                <w:sz w:val="18"/>
                <w:szCs w:val="18"/>
              </w:rPr>
              <w:t>Date</w:t>
            </w:r>
          </w:p>
        </w:tc>
        <w:tc>
          <w:tcPr>
            <w:tcW w:w="4394" w:type="dxa"/>
            <w:tcBorders>
              <w:bottom w:val="dashSmallGap" w:sz="4" w:space="0" w:color="auto"/>
            </w:tcBorders>
            <w:vAlign w:val="center"/>
          </w:tcPr>
          <w:p w:rsidR="002D43E2" w:rsidRPr="00B90C23" w:rsidRDefault="00276AEC" w:rsidP="000151E1">
            <w:pPr>
              <w:spacing w:before="0"/>
              <w:rPr>
                <w:rStyle w:val="Seitenzahl"/>
                <w:rFonts w:ascii="Arial" w:hAnsi="Arial" w:cs="Arial"/>
                <w:sz w:val="18"/>
                <w:szCs w:val="18"/>
              </w:rPr>
            </w:pPr>
            <w:r>
              <w:rPr>
                <w:rStyle w:val="Seitenzahl"/>
                <w:rFonts w:ascii="Arial" w:hAnsi="Arial" w:cs="Arial"/>
                <w:sz w:val="18"/>
                <w:szCs w:val="18"/>
              </w:rPr>
              <w:t>13 October</w:t>
            </w:r>
            <w:r w:rsidR="002D43E2" w:rsidRPr="00B90C23">
              <w:rPr>
                <w:rStyle w:val="Seitenzahl"/>
                <w:rFonts w:ascii="Arial" w:hAnsi="Arial" w:cs="Arial"/>
                <w:sz w:val="18"/>
                <w:szCs w:val="18"/>
              </w:rPr>
              <w:t xml:space="preserve"> 201</w:t>
            </w:r>
            <w:r w:rsidR="000151E1">
              <w:rPr>
                <w:rStyle w:val="Seitenzahl"/>
                <w:rFonts w:ascii="Arial" w:hAnsi="Arial" w:cs="Arial"/>
                <w:sz w:val="18"/>
                <w:szCs w:val="18"/>
              </w:rPr>
              <w:t>4</w:t>
            </w:r>
          </w:p>
        </w:tc>
        <w:tc>
          <w:tcPr>
            <w:tcW w:w="1276" w:type="dxa"/>
          </w:tcPr>
          <w:p w:rsidR="002D43E2" w:rsidRPr="00F62516" w:rsidRDefault="002D43E2" w:rsidP="00EC764B">
            <w:pPr>
              <w:spacing w:before="0"/>
              <w:rPr>
                <w:rFonts w:ascii="Arial" w:hAnsi="Arial" w:cs="Arial"/>
                <w:sz w:val="18"/>
                <w:szCs w:val="18"/>
              </w:rPr>
            </w:pPr>
          </w:p>
        </w:tc>
        <w:tc>
          <w:tcPr>
            <w:tcW w:w="2267" w:type="dxa"/>
            <w:vMerge/>
          </w:tcPr>
          <w:p w:rsidR="002D43E2" w:rsidRPr="00F62516" w:rsidRDefault="002D43E2" w:rsidP="00EC764B">
            <w:pPr>
              <w:spacing w:before="0"/>
              <w:rPr>
                <w:rFonts w:ascii="Arial" w:hAnsi="Arial" w:cs="Arial"/>
                <w:sz w:val="18"/>
                <w:szCs w:val="18"/>
              </w:rPr>
            </w:pPr>
          </w:p>
        </w:tc>
      </w:tr>
      <w:tr w:rsidR="002D43E2" w:rsidRPr="00F62516" w:rsidTr="002D43E2">
        <w:tblPrEx>
          <w:tblLook w:val="04A0" w:firstRow="1" w:lastRow="0" w:firstColumn="1" w:lastColumn="0" w:noHBand="0" w:noVBand="1"/>
        </w:tblPrEx>
        <w:trPr>
          <w:trHeight w:val="340"/>
        </w:trPr>
        <w:tc>
          <w:tcPr>
            <w:tcW w:w="1384" w:type="dxa"/>
            <w:tcBorders>
              <w:top w:val="dashSmallGap" w:sz="4" w:space="0" w:color="auto"/>
              <w:bottom w:val="dashSmallGap" w:sz="4" w:space="0" w:color="auto"/>
            </w:tcBorders>
            <w:vAlign w:val="center"/>
          </w:tcPr>
          <w:p w:rsidR="002D43E2" w:rsidRPr="00F62516" w:rsidRDefault="002D43E2" w:rsidP="00EC764B">
            <w:pPr>
              <w:spacing w:before="0"/>
              <w:rPr>
                <w:rFonts w:ascii="Arial" w:hAnsi="Arial" w:cs="Arial"/>
                <w:b/>
                <w:sz w:val="18"/>
                <w:szCs w:val="18"/>
              </w:rPr>
            </w:pPr>
            <w:r w:rsidRPr="00F62516">
              <w:rPr>
                <w:rFonts w:ascii="Arial" w:hAnsi="Arial" w:cs="Arial"/>
                <w:b/>
                <w:sz w:val="18"/>
                <w:szCs w:val="18"/>
              </w:rPr>
              <w:t>Page</w:t>
            </w:r>
          </w:p>
        </w:tc>
        <w:tc>
          <w:tcPr>
            <w:tcW w:w="4394" w:type="dxa"/>
            <w:tcBorders>
              <w:top w:val="dashSmallGap" w:sz="4" w:space="0" w:color="auto"/>
              <w:bottom w:val="dashSmallGap" w:sz="4" w:space="0" w:color="auto"/>
            </w:tcBorders>
            <w:vAlign w:val="center"/>
          </w:tcPr>
          <w:p w:rsidR="002D43E2" w:rsidRDefault="00BB09AA" w:rsidP="00EC764B">
            <w:pPr>
              <w:spacing w:before="0"/>
              <w:rPr>
                <w:rStyle w:val="Seitenzahl"/>
                <w:rFonts w:ascii="Arial" w:hAnsi="Arial" w:cs="Arial"/>
                <w:sz w:val="18"/>
                <w:szCs w:val="18"/>
              </w:rPr>
            </w:pPr>
            <w:r>
              <w:rPr>
                <w:rStyle w:val="Seitenzahl"/>
                <w:rFonts w:ascii="Arial" w:hAnsi="Arial" w:cs="Arial"/>
                <w:sz w:val="18"/>
                <w:szCs w:val="18"/>
              </w:rPr>
              <w:t>2</w:t>
            </w:r>
          </w:p>
        </w:tc>
        <w:tc>
          <w:tcPr>
            <w:tcW w:w="1276" w:type="dxa"/>
          </w:tcPr>
          <w:p w:rsidR="002D43E2" w:rsidRPr="00F62516" w:rsidRDefault="002D43E2" w:rsidP="00EC764B">
            <w:pPr>
              <w:spacing w:before="0"/>
              <w:rPr>
                <w:rFonts w:ascii="Arial" w:hAnsi="Arial" w:cs="Arial"/>
                <w:sz w:val="18"/>
                <w:szCs w:val="18"/>
              </w:rPr>
            </w:pPr>
          </w:p>
        </w:tc>
        <w:tc>
          <w:tcPr>
            <w:tcW w:w="2267" w:type="dxa"/>
            <w:vMerge/>
          </w:tcPr>
          <w:p w:rsidR="002D43E2" w:rsidRPr="00F62516" w:rsidRDefault="002D43E2" w:rsidP="00EC764B">
            <w:pPr>
              <w:spacing w:before="0"/>
              <w:rPr>
                <w:rFonts w:ascii="Arial" w:hAnsi="Arial" w:cs="Arial"/>
                <w:sz w:val="18"/>
                <w:szCs w:val="18"/>
              </w:rPr>
            </w:pPr>
          </w:p>
        </w:tc>
      </w:tr>
      <w:tr w:rsidR="002D43E2" w:rsidRPr="00F62516" w:rsidTr="002D43E2">
        <w:tblPrEx>
          <w:tblLook w:val="04A0" w:firstRow="1" w:lastRow="0" w:firstColumn="1" w:lastColumn="0" w:noHBand="0" w:noVBand="1"/>
        </w:tblPrEx>
        <w:trPr>
          <w:trHeight w:val="340"/>
        </w:trPr>
        <w:tc>
          <w:tcPr>
            <w:tcW w:w="1384" w:type="dxa"/>
            <w:tcBorders>
              <w:top w:val="dashSmallGap" w:sz="4" w:space="0" w:color="auto"/>
            </w:tcBorders>
            <w:vAlign w:val="center"/>
          </w:tcPr>
          <w:p w:rsidR="002D43E2" w:rsidRPr="00F62516" w:rsidRDefault="002D43E2" w:rsidP="00EC764B">
            <w:pPr>
              <w:spacing w:before="0" w:after="240"/>
              <w:rPr>
                <w:rFonts w:ascii="Arial" w:hAnsi="Arial" w:cs="Arial"/>
                <w:b/>
                <w:sz w:val="18"/>
                <w:szCs w:val="18"/>
              </w:rPr>
            </w:pPr>
            <w:r w:rsidRPr="00F62516">
              <w:rPr>
                <w:rFonts w:ascii="Arial" w:hAnsi="Arial" w:cs="Arial"/>
                <w:b/>
                <w:sz w:val="18"/>
                <w:szCs w:val="18"/>
              </w:rPr>
              <w:t>Subject</w:t>
            </w:r>
          </w:p>
        </w:tc>
        <w:tc>
          <w:tcPr>
            <w:tcW w:w="4394" w:type="dxa"/>
            <w:tcBorders>
              <w:top w:val="dashSmallGap" w:sz="4" w:space="0" w:color="auto"/>
            </w:tcBorders>
            <w:vAlign w:val="center"/>
          </w:tcPr>
          <w:p w:rsidR="002D43E2" w:rsidRPr="00F62516" w:rsidRDefault="00276AEC" w:rsidP="00EC764B">
            <w:pPr>
              <w:spacing w:before="0" w:after="240"/>
              <w:rPr>
                <w:rFonts w:ascii="Arial" w:hAnsi="Arial" w:cs="Arial"/>
                <w:sz w:val="18"/>
                <w:szCs w:val="18"/>
              </w:rPr>
            </w:pPr>
            <w:r w:rsidRPr="00AE4D32">
              <w:rPr>
                <w:rFonts w:ascii="Arial Narrow" w:hAnsi="Arial Narrow" w:cs="Arial"/>
                <w:b/>
                <w:bCs/>
                <w:sz w:val="20"/>
                <w:szCs w:val="20"/>
              </w:rPr>
              <w:t xml:space="preserve">CMS </w:t>
            </w:r>
            <w:r>
              <w:rPr>
                <w:rFonts w:ascii="Arial Narrow" w:hAnsi="Arial Narrow" w:cs="Arial"/>
                <w:b/>
                <w:bCs/>
                <w:sz w:val="20"/>
                <w:szCs w:val="20"/>
              </w:rPr>
              <w:t>publishes European M&amp;A Outlook</w:t>
            </w:r>
          </w:p>
        </w:tc>
        <w:tc>
          <w:tcPr>
            <w:tcW w:w="1276" w:type="dxa"/>
          </w:tcPr>
          <w:p w:rsidR="002D43E2" w:rsidRPr="00F62516" w:rsidRDefault="002D43E2" w:rsidP="00EC764B">
            <w:pPr>
              <w:spacing w:before="0" w:after="240"/>
              <w:rPr>
                <w:rFonts w:ascii="Arial" w:hAnsi="Arial" w:cs="Arial"/>
                <w:sz w:val="18"/>
                <w:szCs w:val="18"/>
              </w:rPr>
            </w:pPr>
          </w:p>
        </w:tc>
        <w:tc>
          <w:tcPr>
            <w:tcW w:w="2267" w:type="dxa"/>
            <w:vMerge/>
          </w:tcPr>
          <w:p w:rsidR="002D43E2" w:rsidRPr="00F62516" w:rsidRDefault="002D43E2" w:rsidP="00EC764B">
            <w:pPr>
              <w:spacing w:before="0" w:after="240"/>
              <w:rPr>
                <w:rFonts w:ascii="Arial" w:hAnsi="Arial" w:cs="Arial"/>
                <w:sz w:val="18"/>
                <w:szCs w:val="18"/>
              </w:rPr>
            </w:pPr>
          </w:p>
        </w:tc>
      </w:tr>
    </w:tbl>
    <w:p w:rsidR="00276AEC" w:rsidRPr="00276AEC" w:rsidRDefault="00276AEC" w:rsidP="00BB09AA">
      <w:pPr>
        <w:suppressAutoHyphens/>
        <w:spacing w:line="240" w:lineRule="auto"/>
        <w:rPr>
          <w:rFonts w:ascii="Times New Roman" w:hAnsi="Times New Roman"/>
          <w:b/>
          <w:szCs w:val="22"/>
          <w:lang w:eastAsia="en-US"/>
        </w:rPr>
      </w:pPr>
      <w:r w:rsidRPr="00276AEC">
        <w:rPr>
          <w:rFonts w:ascii="Times New Roman" w:hAnsi="Times New Roman"/>
          <w:b/>
          <w:noProof/>
          <w:szCs w:val="22"/>
          <w:lang w:eastAsia="en-GB"/>
        </w:rPr>
        <w:t>Optimism in European M&amp;A activity continues to grow says CMS report</w:t>
      </w:r>
    </w:p>
    <w:p w:rsidR="00276AEC" w:rsidRPr="00276AEC" w:rsidRDefault="00276AEC" w:rsidP="00BB09AA">
      <w:pPr>
        <w:suppressAutoHyphens/>
        <w:spacing w:line="240" w:lineRule="auto"/>
        <w:rPr>
          <w:rFonts w:ascii="Times New Roman" w:hAnsi="Times New Roman"/>
          <w:szCs w:val="22"/>
          <w:lang w:eastAsia="en-US"/>
        </w:rPr>
      </w:pPr>
      <w:bookmarkStart w:id="0" w:name="_GoBack"/>
      <w:r w:rsidRPr="00276AEC">
        <w:rPr>
          <w:rFonts w:ascii="Times New Roman" w:hAnsi="Times New Roman"/>
          <w:szCs w:val="22"/>
          <w:lang w:eastAsia="en-US"/>
        </w:rPr>
        <w:t>Europe’s executives are more bullish about the European M&amp;</w:t>
      </w:r>
      <w:proofErr w:type="gramStart"/>
      <w:r w:rsidRPr="00276AEC">
        <w:rPr>
          <w:rFonts w:ascii="Times New Roman" w:hAnsi="Times New Roman"/>
          <w:szCs w:val="22"/>
          <w:lang w:eastAsia="en-US"/>
        </w:rPr>
        <w:t>A</w:t>
      </w:r>
      <w:proofErr w:type="gramEnd"/>
      <w:r w:rsidRPr="00276AEC">
        <w:rPr>
          <w:rFonts w:ascii="Times New Roman" w:hAnsi="Times New Roman"/>
          <w:szCs w:val="22"/>
          <w:lang w:eastAsia="en-US"/>
        </w:rPr>
        <w:t xml:space="preserve"> outlook than they were a year ago according to research of 225 Europe-based corporate executives by global law firm CMS and </w:t>
      </w:r>
      <w:proofErr w:type="spellStart"/>
      <w:r w:rsidRPr="00276AEC">
        <w:rPr>
          <w:rFonts w:ascii="Times New Roman" w:hAnsi="Times New Roman"/>
          <w:szCs w:val="22"/>
          <w:lang w:eastAsia="en-US"/>
        </w:rPr>
        <w:t>Mergermarket</w:t>
      </w:r>
      <w:proofErr w:type="spellEnd"/>
      <w:r w:rsidRPr="00276AEC">
        <w:rPr>
          <w:rFonts w:ascii="Times New Roman" w:hAnsi="Times New Roman"/>
          <w:szCs w:val="22"/>
          <w:lang w:eastAsia="en-US"/>
        </w:rPr>
        <w:t>. Two thirds of respondents expect M&amp;A activity will increase, with 11% anticipating a significant increase. This compares with 47% of 2013 interviewees expecting deal-making to increase, and just 1% expecting M&amp;A to increase greatly. Attitudes about Europe’s economic recovery have improved significantly and the majority believe that the worst is behind us.</w:t>
      </w:r>
    </w:p>
    <w:p w:rsidR="00276AEC" w:rsidRPr="00276AEC" w:rsidRDefault="00276AEC" w:rsidP="00BB09AA">
      <w:pPr>
        <w:suppressAutoHyphens/>
        <w:spacing w:line="240" w:lineRule="auto"/>
        <w:rPr>
          <w:rFonts w:ascii="Times New Roman" w:hAnsi="Times New Roman"/>
          <w:szCs w:val="22"/>
          <w:lang w:eastAsia="en-US"/>
        </w:rPr>
      </w:pPr>
      <w:r>
        <w:rPr>
          <w:rFonts w:ascii="Times New Roman" w:hAnsi="Times New Roman"/>
          <w:szCs w:val="22"/>
          <w:lang w:eastAsia="en-US"/>
        </w:rPr>
        <w:t>Peter Huber</w:t>
      </w:r>
      <w:r w:rsidRPr="00276AEC">
        <w:rPr>
          <w:rFonts w:ascii="Times New Roman" w:hAnsi="Times New Roman"/>
          <w:szCs w:val="22"/>
          <w:lang w:eastAsia="en-US"/>
        </w:rPr>
        <w:t>,</w:t>
      </w:r>
      <w:r w:rsidR="00D062DA">
        <w:rPr>
          <w:rFonts w:ascii="Times New Roman" w:hAnsi="Times New Roman"/>
          <w:szCs w:val="22"/>
          <w:lang w:eastAsia="en-US"/>
        </w:rPr>
        <w:t xml:space="preserve"> Managi</w:t>
      </w:r>
      <w:r>
        <w:rPr>
          <w:rFonts w:ascii="Times New Roman" w:hAnsi="Times New Roman"/>
          <w:szCs w:val="22"/>
          <w:lang w:eastAsia="en-US"/>
        </w:rPr>
        <w:t>n</w:t>
      </w:r>
      <w:r w:rsidR="00D062DA">
        <w:rPr>
          <w:rFonts w:ascii="Times New Roman" w:hAnsi="Times New Roman"/>
          <w:szCs w:val="22"/>
          <w:lang w:eastAsia="en-US"/>
        </w:rPr>
        <w:t>g</w:t>
      </w:r>
      <w:r>
        <w:rPr>
          <w:rFonts w:ascii="Times New Roman" w:hAnsi="Times New Roman"/>
          <w:szCs w:val="22"/>
          <w:lang w:eastAsia="en-US"/>
        </w:rPr>
        <w:t xml:space="preserve"> Partner and </w:t>
      </w:r>
      <w:r w:rsidRPr="00276AEC">
        <w:rPr>
          <w:rFonts w:ascii="Times New Roman" w:hAnsi="Times New Roman"/>
          <w:szCs w:val="22"/>
          <w:lang w:eastAsia="en-US"/>
        </w:rPr>
        <w:t>Head of</w:t>
      </w:r>
      <w:r>
        <w:rPr>
          <w:rFonts w:ascii="Times New Roman" w:hAnsi="Times New Roman"/>
          <w:szCs w:val="22"/>
          <w:lang w:eastAsia="en-US"/>
        </w:rPr>
        <w:t xml:space="preserve"> the Corporate Transactions Group</w:t>
      </w:r>
      <w:r w:rsidR="00D062DA" w:rsidRPr="00D062DA">
        <w:rPr>
          <w:rFonts w:ascii="Times New Roman" w:hAnsi="Times New Roman"/>
          <w:szCs w:val="22"/>
          <w:lang w:eastAsia="en-US"/>
        </w:rPr>
        <w:t xml:space="preserve"> </w:t>
      </w:r>
      <w:r w:rsidR="00D062DA">
        <w:rPr>
          <w:rFonts w:ascii="Times New Roman" w:hAnsi="Times New Roman"/>
          <w:szCs w:val="22"/>
          <w:lang w:eastAsia="en-US"/>
        </w:rPr>
        <w:t>of CMS Vienna</w:t>
      </w:r>
      <w:r>
        <w:rPr>
          <w:rFonts w:ascii="Times New Roman" w:hAnsi="Times New Roman"/>
          <w:szCs w:val="22"/>
          <w:lang w:eastAsia="en-US"/>
        </w:rPr>
        <w:t>, said</w:t>
      </w:r>
      <w:r w:rsidRPr="00276AEC">
        <w:rPr>
          <w:rFonts w:ascii="Times New Roman" w:hAnsi="Times New Roman"/>
          <w:szCs w:val="22"/>
          <w:lang w:eastAsia="en-US"/>
        </w:rPr>
        <w:t xml:space="preserve"> “Our report echoes the sentiment of increasing market confidence as evidenced by the high level of M&amp;A activity this year and in particular the most recent announcements of major transactions by </w:t>
      </w:r>
      <w:r>
        <w:rPr>
          <w:rFonts w:ascii="Times New Roman" w:hAnsi="Times New Roman"/>
          <w:szCs w:val="22"/>
          <w:lang w:eastAsia="en-US"/>
        </w:rPr>
        <w:t>European</w:t>
      </w:r>
      <w:r w:rsidRPr="00276AEC">
        <w:rPr>
          <w:rFonts w:ascii="Times New Roman" w:hAnsi="Times New Roman"/>
          <w:szCs w:val="22"/>
          <w:lang w:eastAsia="en-US"/>
        </w:rPr>
        <w:t xml:space="preserve"> companies. However, continued financial and political uncertainty, particularly in relation to Russia and the Ukraine, may still hold back M&amp;A activity in Europe.”</w:t>
      </w:r>
    </w:p>
    <w:p w:rsidR="00276AEC" w:rsidRPr="00276AEC" w:rsidRDefault="00276AEC" w:rsidP="00BB09AA">
      <w:pPr>
        <w:suppressAutoHyphens/>
        <w:spacing w:line="240" w:lineRule="auto"/>
        <w:rPr>
          <w:rFonts w:ascii="Times New Roman" w:hAnsi="Times New Roman"/>
          <w:szCs w:val="22"/>
          <w:lang w:eastAsia="en-US"/>
        </w:rPr>
      </w:pPr>
      <w:r w:rsidRPr="00276AEC">
        <w:rPr>
          <w:rFonts w:ascii="Times New Roman" w:hAnsi="Times New Roman"/>
          <w:szCs w:val="22"/>
          <w:lang w:eastAsia="en-US"/>
        </w:rPr>
        <w:t>Respondents are divided over whether the political situation between Russia and the Ukraine will impact European M&amp;A, with 41% agreeing that it will and 59% believing otherwise.</w:t>
      </w:r>
    </w:p>
    <w:p w:rsidR="00276AEC" w:rsidRPr="00276AEC" w:rsidRDefault="00276AEC" w:rsidP="00BB09AA">
      <w:pPr>
        <w:suppressAutoHyphens/>
        <w:spacing w:line="240" w:lineRule="auto"/>
        <w:rPr>
          <w:rFonts w:ascii="Times New Roman" w:hAnsi="Times New Roman"/>
          <w:szCs w:val="22"/>
          <w:lang w:eastAsia="en-US"/>
        </w:rPr>
      </w:pPr>
      <w:r w:rsidRPr="00276AEC">
        <w:rPr>
          <w:rFonts w:ascii="Times New Roman" w:hAnsi="Times New Roman"/>
          <w:szCs w:val="22"/>
          <w:lang w:eastAsia="en-US"/>
        </w:rPr>
        <w:t>The top three buy-side drivers of M&amp;A in Europe will be consolidation (57%), increased appetite from foreign acquirers (56%) and cash rich corporate acquirers (55%). In the telecommunications sector consolidation is particularly evident: TMT deal volume increased 10% in the first half of 2014, compared to the same period in 2013, and value jumped 34% to €66bn.</w:t>
      </w:r>
    </w:p>
    <w:p w:rsidR="00276AEC" w:rsidRPr="00276AEC" w:rsidRDefault="00276AEC" w:rsidP="00BB09AA">
      <w:pPr>
        <w:suppressAutoHyphens/>
        <w:spacing w:line="240" w:lineRule="auto"/>
        <w:rPr>
          <w:rFonts w:ascii="Times New Roman" w:hAnsi="Times New Roman"/>
          <w:szCs w:val="22"/>
          <w:lang w:eastAsia="en-US"/>
        </w:rPr>
      </w:pPr>
      <w:r w:rsidRPr="00276AEC">
        <w:rPr>
          <w:rFonts w:ascii="Times New Roman" w:hAnsi="Times New Roman"/>
          <w:szCs w:val="22"/>
          <w:lang w:eastAsia="en-US"/>
        </w:rPr>
        <w:t>On the sell-side, the lead drivers of M&amp;A activity are expected to be capital raising for expansion in faster growing areas (67%), distress driven M&amp;A (59%) and non-core asset sales from larger companies (56%). However, there has been a nine percentage year-on-year drop in the level of activity expected via distressed situations.</w:t>
      </w:r>
    </w:p>
    <w:p w:rsidR="00276AEC" w:rsidRPr="00276AEC" w:rsidRDefault="00276AEC" w:rsidP="00BB09AA">
      <w:pPr>
        <w:suppressAutoHyphens/>
        <w:spacing w:line="240" w:lineRule="auto"/>
        <w:rPr>
          <w:rFonts w:ascii="Times New Roman" w:hAnsi="Times New Roman"/>
          <w:szCs w:val="22"/>
          <w:lang w:eastAsia="en-US"/>
        </w:rPr>
      </w:pPr>
      <w:r w:rsidRPr="00276AEC">
        <w:rPr>
          <w:rFonts w:ascii="Times New Roman" w:hAnsi="Times New Roman"/>
          <w:szCs w:val="22"/>
          <w:lang w:eastAsia="en-US"/>
        </w:rPr>
        <w:t>The publication also revealed that regulatory issues are expected to be the main obstacle to deals, followed by financing difficulties and economic uncertainty.</w:t>
      </w:r>
    </w:p>
    <w:p w:rsidR="00276AEC" w:rsidRPr="00276AEC" w:rsidRDefault="00276AEC" w:rsidP="00BB09AA">
      <w:pPr>
        <w:suppressAutoHyphens/>
        <w:spacing w:line="240" w:lineRule="auto"/>
        <w:rPr>
          <w:rFonts w:ascii="Times New Roman" w:hAnsi="Times New Roman"/>
          <w:szCs w:val="22"/>
          <w:lang w:eastAsia="en-US"/>
        </w:rPr>
      </w:pPr>
      <w:r w:rsidRPr="00276AEC">
        <w:rPr>
          <w:rFonts w:ascii="Times New Roman" w:hAnsi="Times New Roman"/>
          <w:szCs w:val="22"/>
          <w:lang w:eastAsia="en-US"/>
        </w:rPr>
        <w:t xml:space="preserve">With regards to sector differentiation in levels of M&amp;A, the TMT sector leads the way, with the largest percentage of respondents (20%) naming it as the sector likely to experience the most M&amp;A activity in Europe in the next 12 months. Industrials &amp; chemicals and energy, mining and utilities are jointly second, with 17% each, respectively. </w:t>
      </w:r>
      <w:bookmarkEnd w:id="0"/>
    </w:p>
    <w:p w:rsidR="002D43E2" w:rsidRPr="002D43E2" w:rsidRDefault="002D43E2" w:rsidP="002D43E2">
      <w:pPr>
        <w:pStyle w:val="Textkrper"/>
        <w:jc w:val="center"/>
        <w:rPr>
          <w:rFonts w:ascii="Times New Roman" w:hAnsi="Times New Roman"/>
          <w:b/>
        </w:rPr>
      </w:pPr>
      <w:r w:rsidRPr="002D43E2">
        <w:rPr>
          <w:rFonts w:ascii="Times New Roman" w:hAnsi="Times New Roman"/>
          <w:b/>
        </w:rPr>
        <w:t>- END -</w:t>
      </w:r>
    </w:p>
    <w:p w:rsidR="002D43E2" w:rsidRPr="002D43E2" w:rsidRDefault="002D43E2" w:rsidP="002D43E2">
      <w:pPr>
        <w:tabs>
          <w:tab w:val="left" w:pos="3079"/>
        </w:tabs>
        <w:ind w:left="360" w:hanging="360"/>
        <w:rPr>
          <w:rFonts w:ascii="Times New Roman" w:hAnsi="Times New Roman"/>
          <w:b/>
        </w:rPr>
      </w:pPr>
      <w:r w:rsidRPr="002D43E2">
        <w:rPr>
          <w:rFonts w:ascii="Times New Roman" w:hAnsi="Times New Roman"/>
          <w:b/>
        </w:rPr>
        <w:lastRenderedPageBreak/>
        <w:t>Contact:</w:t>
      </w:r>
    </w:p>
    <w:p w:rsidR="002D43E2" w:rsidRPr="002D43E2" w:rsidRDefault="002D43E2" w:rsidP="002D43E2">
      <w:pPr>
        <w:pStyle w:val="Textkrper"/>
        <w:contextualSpacing/>
        <w:jc w:val="left"/>
        <w:rPr>
          <w:rFonts w:ascii="Times New Roman" w:hAnsi="Times New Roman"/>
          <w:b/>
        </w:rPr>
      </w:pPr>
      <w:r w:rsidRPr="002D43E2">
        <w:rPr>
          <w:rFonts w:ascii="Times New Roman" w:hAnsi="Times New Roman"/>
          <w:b/>
        </w:rPr>
        <w:t>Mag. Kristijana Lastro</w:t>
      </w:r>
    </w:p>
    <w:p w:rsidR="002D43E2" w:rsidRPr="002D43E2" w:rsidRDefault="002D43E2" w:rsidP="002D43E2">
      <w:pPr>
        <w:pStyle w:val="Textkrper"/>
        <w:contextualSpacing/>
        <w:rPr>
          <w:rFonts w:ascii="Times New Roman" w:hAnsi="Times New Roman"/>
        </w:rPr>
      </w:pPr>
      <w:r w:rsidRPr="002D43E2">
        <w:rPr>
          <w:rFonts w:ascii="Times New Roman" w:hAnsi="Times New Roman"/>
        </w:rPr>
        <w:t>Head of Marketing &amp; Communications</w:t>
      </w:r>
    </w:p>
    <w:p w:rsidR="002D43E2" w:rsidRPr="002D43E2" w:rsidRDefault="002D43E2" w:rsidP="002D43E2">
      <w:pPr>
        <w:pStyle w:val="Textkrper"/>
        <w:contextualSpacing/>
        <w:rPr>
          <w:rFonts w:ascii="Times New Roman" w:hAnsi="Times New Roman"/>
        </w:rPr>
      </w:pPr>
      <w:r w:rsidRPr="002D43E2">
        <w:rPr>
          <w:rFonts w:ascii="Times New Roman" w:hAnsi="Times New Roman"/>
        </w:rPr>
        <w:t>T +43 1 40443 4000</w:t>
      </w:r>
    </w:p>
    <w:p w:rsidR="002D43E2" w:rsidRPr="002D43E2" w:rsidRDefault="002D43E2" w:rsidP="002D43E2">
      <w:pPr>
        <w:pStyle w:val="Textkrper"/>
        <w:contextualSpacing/>
        <w:jc w:val="left"/>
        <w:rPr>
          <w:rFonts w:ascii="Times New Roman" w:hAnsi="Times New Roman"/>
          <w:lang w:val="de-AT"/>
        </w:rPr>
      </w:pPr>
      <w:r w:rsidRPr="002D43E2">
        <w:rPr>
          <w:rFonts w:ascii="Times New Roman" w:hAnsi="Times New Roman"/>
          <w:lang w:val="de-AT"/>
        </w:rPr>
        <w:t>E kristijana.lastro@cms-rrh.com</w:t>
      </w:r>
    </w:p>
    <w:p w:rsidR="002D43E2" w:rsidRPr="00D24AEC" w:rsidRDefault="002D43E2" w:rsidP="002D43E2">
      <w:pPr>
        <w:tabs>
          <w:tab w:val="left" w:pos="3079"/>
        </w:tabs>
        <w:ind w:left="360" w:hanging="360"/>
        <w:rPr>
          <w:b/>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09"/>
      </w:tblGrid>
      <w:tr w:rsidR="002D43E2" w:rsidRPr="00D87296" w:rsidTr="00EC764B">
        <w:trPr>
          <w:trHeight w:val="917"/>
        </w:trPr>
        <w:tc>
          <w:tcPr>
            <w:tcW w:w="1101" w:type="dxa"/>
          </w:tcPr>
          <w:p w:rsidR="002D43E2" w:rsidRDefault="002D43E2" w:rsidP="00EC764B">
            <w:pPr>
              <w:jc w:val="both"/>
              <w:rPr>
                <w:lang w:val="de-AT"/>
              </w:rPr>
            </w:pPr>
            <w:r>
              <w:rPr>
                <w:rFonts w:ascii="Verdana" w:hAnsi="Verdana"/>
                <w:noProof/>
                <w:color w:val="000000"/>
                <w:sz w:val="15"/>
                <w:szCs w:val="15"/>
                <w:lang w:val="de-AT" w:eastAsia="de-AT"/>
              </w:rPr>
              <w:drawing>
                <wp:inline distT="0" distB="0" distL="0" distR="0" wp14:anchorId="14060BA7" wp14:editId="46F9B95E">
                  <wp:extent cx="476885" cy="397510"/>
                  <wp:effectExtent l="0" t="0" r="0" b="2540"/>
                  <wp:docPr id="9" name="Grafik 9" descr="cid:image004.png@01CE6911.79B21EC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CE6911.79B21E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6885" cy="397510"/>
                          </a:xfrm>
                          <a:prstGeom prst="rect">
                            <a:avLst/>
                          </a:prstGeom>
                          <a:noFill/>
                          <a:ln>
                            <a:noFill/>
                          </a:ln>
                        </pic:spPr>
                      </pic:pic>
                    </a:graphicData>
                  </a:graphic>
                </wp:inline>
              </w:drawing>
            </w:r>
          </w:p>
        </w:tc>
        <w:tc>
          <w:tcPr>
            <w:tcW w:w="8109" w:type="dxa"/>
          </w:tcPr>
          <w:p w:rsidR="002D43E2" w:rsidRPr="002D43E2" w:rsidRDefault="002D43E2" w:rsidP="00EC764B">
            <w:pPr>
              <w:jc w:val="both"/>
              <w:rPr>
                <w:rFonts w:ascii="Times New Roman" w:hAnsi="Times New Roman"/>
              </w:rPr>
            </w:pPr>
            <w:r w:rsidRPr="002D43E2">
              <w:rPr>
                <w:rFonts w:ascii="Times New Roman" w:hAnsi="Times New Roman"/>
                <w:color w:val="000000"/>
              </w:rPr>
              <w:t>CMS Reich-Rohrwig Hainz is blogging! Current, relevant and interesting articles from over 20 areas of expertise are available at</w:t>
            </w:r>
            <w:r w:rsidRPr="002D43E2">
              <w:rPr>
                <w:rFonts w:ascii="Times New Roman" w:hAnsi="Times New Roman"/>
                <w:color w:val="000000"/>
                <w:szCs w:val="22"/>
              </w:rPr>
              <w:t xml:space="preserve"> </w:t>
            </w:r>
            <w:hyperlink r:id="rId11" w:history="1">
              <w:r w:rsidRPr="002D43E2">
                <w:rPr>
                  <w:rStyle w:val="Hyperlink"/>
                  <w:rFonts w:ascii="Times New Roman" w:hAnsi="Times New Roman"/>
                  <w:szCs w:val="22"/>
                </w:rPr>
                <w:t>http://blog.cms-rrh.com</w:t>
              </w:r>
            </w:hyperlink>
          </w:p>
        </w:tc>
      </w:tr>
    </w:tbl>
    <w:p w:rsidR="00B66912" w:rsidRDefault="00B66912" w:rsidP="00B66912">
      <w:pPr>
        <w:spacing w:before="0" w:after="0" w:line="240" w:lineRule="auto"/>
        <w:jc w:val="both"/>
        <w:rPr>
          <w:rFonts w:ascii="Times New Roman" w:hAnsi="Times New Roman"/>
          <w:b/>
          <w:sz w:val="18"/>
          <w:szCs w:val="18"/>
        </w:rPr>
      </w:pPr>
    </w:p>
    <w:p w:rsidR="00B66912" w:rsidRDefault="00B66912" w:rsidP="00BB09AA">
      <w:pPr>
        <w:spacing w:before="0" w:after="0" w:line="240" w:lineRule="auto"/>
        <w:rPr>
          <w:rFonts w:ascii="Times New Roman" w:hAnsi="Times New Roman"/>
          <w:b/>
          <w:sz w:val="18"/>
          <w:szCs w:val="18"/>
        </w:rPr>
      </w:pPr>
    </w:p>
    <w:p w:rsidR="002D43E2" w:rsidRPr="002D43E2" w:rsidRDefault="002D43E2" w:rsidP="00BB09AA">
      <w:pPr>
        <w:spacing w:line="240" w:lineRule="auto"/>
        <w:rPr>
          <w:rFonts w:ascii="Times New Roman" w:hAnsi="Times New Roman"/>
          <w:sz w:val="18"/>
          <w:szCs w:val="18"/>
        </w:rPr>
      </w:pPr>
      <w:r w:rsidRPr="002D43E2">
        <w:rPr>
          <w:rFonts w:ascii="Times New Roman" w:hAnsi="Times New Roman"/>
          <w:b/>
          <w:sz w:val="18"/>
          <w:szCs w:val="18"/>
        </w:rPr>
        <w:t>About CMS Reich-Rohrwig Hainz</w:t>
      </w:r>
      <w:r w:rsidR="00BB09AA">
        <w:rPr>
          <w:rFonts w:ascii="Times New Roman" w:hAnsi="Times New Roman"/>
          <w:b/>
          <w:sz w:val="18"/>
          <w:szCs w:val="18"/>
        </w:rPr>
        <w:br/>
      </w:r>
      <w:r w:rsidR="00F77924" w:rsidRPr="00F77924">
        <w:rPr>
          <w:rFonts w:ascii="Times New Roman" w:hAnsi="Times New Roman"/>
          <w:sz w:val="18"/>
          <w:szCs w:val="18"/>
        </w:rPr>
        <w:t>CMS Reich-Rohrwig Hainz is one of the leading law firms in Austria and Southeast Europe. Because we are specialists, our lawyers and tax advisors are able to provide you with advice of the highest calibre and sophistication: both, from a legal perspective as well as through our industry specific know-how. Highly-specialized teams consisting of internationally experienced lawyers primarily provide services in the following fields of law: M&amp;A, banking and finance, real estate, construction law, taxes, labour laws, IP and IT laws, and public procurement. We operate offices in Vienna, Belgrade, Bratislava, Brussels, Istanbul, Kiev, Ljubljana, Podgorica, Sarajevo, Sofia and Zagreb. All CMS offices together offer clients a team of more than 600 experienced specialists in 15 offices across the CEE/SEE region.</w:t>
      </w:r>
      <w:r w:rsidRPr="002D43E2">
        <w:rPr>
          <w:rFonts w:ascii="Times New Roman" w:hAnsi="Times New Roman"/>
          <w:sz w:val="18"/>
          <w:szCs w:val="18"/>
        </w:rPr>
        <w:t xml:space="preserve"> </w:t>
      </w:r>
      <w:hyperlink r:id="rId12" w:history="1">
        <w:r w:rsidRPr="002D43E2">
          <w:rPr>
            <w:rStyle w:val="Hyperlink"/>
            <w:rFonts w:ascii="Times New Roman" w:hAnsi="Times New Roman"/>
            <w:sz w:val="18"/>
            <w:szCs w:val="18"/>
          </w:rPr>
          <w:t>www.cms-rrh.com</w:t>
        </w:r>
      </w:hyperlink>
      <w:r w:rsidRPr="002D43E2">
        <w:rPr>
          <w:rFonts w:ascii="Times New Roman" w:hAnsi="Times New Roman"/>
          <w:sz w:val="18"/>
          <w:szCs w:val="18"/>
        </w:rPr>
        <w:t xml:space="preserve"> </w:t>
      </w:r>
    </w:p>
    <w:p w:rsidR="00B66912" w:rsidRPr="00B66912" w:rsidRDefault="002D43E2" w:rsidP="00BB09AA">
      <w:pPr>
        <w:spacing w:line="240" w:lineRule="auto"/>
        <w:rPr>
          <w:rFonts w:ascii="Times New Roman" w:hAnsi="Times New Roman"/>
          <w:sz w:val="18"/>
          <w:szCs w:val="18"/>
        </w:rPr>
      </w:pPr>
      <w:r w:rsidRPr="002D43E2">
        <w:rPr>
          <w:rFonts w:ascii="Times New Roman" w:hAnsi="Times New Roman"/>
          <w:b/>
          <w:sz w:val="18"/>
          <w:szCs w:val="18"/>
        </w:rPr>
        <w:t>About CMS</w:t>
      </w:r>
      <w:r w:rsidR="00B66912">
        <w:rPr>
          <w:rFonts w:ascii="Times New Roman" w:hAnsi="Times New Roman"/>
          <w:b/>
          <w:sz w:val="18"/>
          <w:szCs w:val="18"/>
        </w:rPr>
        <w:br/>
      </w:r>
      <w:r w:rsidR="00B66912" w:rsidRPr="00B66912">
        <w:rPr>
          <w:rFonts w:ascii="Times New Roman" w:hAnsi="Times New Roman"/>
          <w:sz w:val="18"/>
          <w:szCs w:val="18"/>
        </w:rPr>
        <w:t>Founded in 1999, CMS is a full-service top 10 international law firm, based on the number of lawyers (Am Law 2013 Global 100). With 59 offices in 33 countries across the world, employing over 3,000 lawyers, CMS has longstanding expertise both at advising in its local jurisdictions and across borders. CMS acts for a large number of Fortune 500 companies and the FT European 500 and for the majority of the DAX 30.  Revenues totalled €842m in 2013.</w:t>
      </w:r>
    </w:p>
    <w:p w:rsidR="00B66912" w:rsidRPr="00B66912" w:rsidRDefault="00B66912" w:rsidP="00BB09AA">
      <w:pPr>
        <w:suppressAutoHyphens/>
        <w:spacing w:line="240" w:lineRule="auto"/>
        <w:rPr>
          <w:rFonts w:ascii="Times New Roman" w:hAnsi="Times New Roman"/>
          <w:sz w:val="18"/>
          <w:szCs w:val="18"/>
        </w:rPr>
      </w:pPr>
      <w:r w:rsidRPr="00B66912">
        <w:rPr>
          <w:rFonts w:ascii="Times New Roman" w:hAnsi="Times New Roman"/>
          <w:sz w:val="18"/>
          <w:szCs w:val="18"/>
        </w:rPr>
        <w:t xml:space="preserve">CMS provides a wide range of expertise across 18 expert practice and sector areas including Corporate, Energy, Funds, </w:t>
      </w:r>
      <w:proofErr w:type="spellStart"/>
      <w:r w:rsidRPr="00B66912">
        <w:rPr>
          <w:rFonts w:ascii="Times New Roman" w:hAnsi="Times New Roman"/>
          <w:sz w:val="18"/>
          <w:szCs w:val="18"/>
        </w:rPr>
        <w:t>Lifesciences</w:t>
      </w:r>
      <w:proofErr w:type="spellEnd"/>
      <w:r w:rsidRPr="00B66912">
        <w:rPr>
          <w:rFonts w:ascii="Times New Roman" w:hAnsi="Times New Roman"/>
          <w:sz w:val="18"/>
          <w:szCs w:val="18"/>
        </w:rPr>
        <w:t>/Pharmaceuticals, TMT, Tax, Banking and Finance, Commercial, Competition, Dispute Resolution, Employment, Intellectual Property and Real Estate &amp; Construction.</w:t>
      </w:r>
    </w:p>
    <w:p w:rsidR="00B66912" w:rsidRPr="00B66912" w:rsidRDefault="00B66912" w:rsidP="00BB09AA">
      <w:pPr>
        <w:suppressAutoHyphens/>
        <w:spacing w:line="240" w:lineRule="auto"/>
        <w:rPr>
          <w:rFonts w:ascii="Times New Roman" w:hAnsi="Times New Roman"/>
          <w:sz w:val="18"/>
          <w:szCs w:val="18"/>
        </w:rPr>
      </w:pPr>
      <w:r w:rsidRPr="00B66912">
        <w:rPr>
          <w:rFonts w:ascii="Times New Roman" w:hAnsi="Times New Roman"/>
          <w:sz w:val="18"/>
          <w:szCs w:val="18"/>
        </w:rPr>
        <w:t xml:space="preserve">For more information, please visit </w:t>
      </w:r>
      <w:hyperlink r:id="rId13" w:history="1">
        <w:r w:rsidRPr="00B66912">
          <w:rPr>
            <w:rFonts w:ascii="Times New Roman" w:hAnsi="Times New Roman"/>
            <w:sz w:val="18"/>
            <w:szCs w:val="18"/>
          </w:rPr>
          <w:t>www.cmslegal.com</w:t>
        </w:r>
      </w:hyperlink>
      <w:r w:rsidRPr="00B66912">
        <w:rPr>
          <w:rFonts w:ascii="Times New Roman" w:hAnsi="Times New Roman"/>
          <w:sz w:val="18"/>
          <w:szCs w:val="18"/>
        </w:rPr>
        <w:t>.</w:t>
      </w:r>
    </w:p>
    <w:p w:rsidR="00B66912" w:rsidRPr="00B66912" w:rsidRDefault="00B66912" w:rsidP="00BB09AA">
      <w:pPr>
        <w:spacing w:line="240" w:lineRule="auto"/>
        <w:rPr>
          <w:rFonts w:ascii="Times New Roman" w:hAnsi="Times New Roman"/>
          <w:b/>
          <w:szCs w:val="22"/>
          <w:lang w:eastAsia="en-US"/>
        </w:rPr>
      </w:pPr>
      <w:r w:rsidRPr="00B66912">
        <w:rPr>
          <w:rFonts w:ascii="Times New Roman" w:hAnsi="Times New Roman"/>
          <w:sz w:val="18"/>
          <w:szCs w:val="18"/>
          <w:lang w:val="en-US"/>
        </w:rPr>
        <w:t xml:space="preserve">CMS offices and associated offices: Aberdeen, Algiers, Amsterdam, Antwerp, Barcelona, Beijing, Belgrade, Berlin, Bratislava, Bristol, Brussels, Bucharest, Budapest, Casablanca, Cologne,  Dubai, </w:t>
      </w:r>
      <w:proofErr w:type="spellStart"/>
      <w:r w:rsidRPr="00B66912">
        <w:rPr>
          <w:rFonts w:ascii="Times New Roman" w:hAnsi="Times New Roman"/>
          <w:sz w:val="18"/>
          <w:szCs w:val="18"/>
          <w:lang w:val="en-US"/>
        </w:rPr>
        <w:t>Duesseldorf</w:t>
      </w:r>
      <w:proofErr w:type="spellEnd"/>
      <w:r w:rsidRPr="00B66912">
        <w:rPr>
          <w:rFonts w:ascii="Times New Roman" w:hAnsi="Times New Roman"/>
          <w:sz w:val="18"/>
          <w:szCs w:val="18"/>
          <w:lang w:val="en-US"/>
        </w:rPr>
        <w:t>, Edinburgh, Frankfurt, Geneva, Glasgow, Hamburg, Istanbul, Kyiv, Leipzig, Lisbon, Ljubljana, London, Luxembourg, Lyon, Madrid, Mexico City, Milan, Montenegro, Moscow, Munich, Muscat, Paris, Prague, Rio de Janeiro, Rome, Sarajevo, Seville, Shanghai, Sofia, Strasbourg, Stuttgart, Tirana, Utrecht, Vienna, Warsaw, Zagreb and Zurich.</w:t>
      </w:r>
      <w:r w:rsidRPr="00B66912" w:rsidDel="003A54E0">
        <w:rPr>
          <w:rFonts w:ascii="Times New Roman" w:hAnsi="Times New Roman"/>
          <w:szCs w:val="22"/>
          <w:lang w:eastAsia="en-US"/>
        </w:rPr>
        <w:t xml:space="preserve"> </w:t>
      </w:r>
    </w:p>
    <w:p w:rsidR="00B66912" w:rsidRPr="003306B8" w:rsidRDefault="00B66912" w:rsidP="00BB09AA">
      <w:pPr>
        <w:suppressAutoHyphens/>
        <w:spacing w:line="240" w:lineRule="auto"/>
        <w:rPr>
          <w:rFonts w:cs="Arial"/>
          <w:szCs w:val="22"/>
          <w:lang w:eastAsia="en-US"/>
        </w:rPr>
      </w:pPr>
    </w:p>
    <w:p w:rsidR="008B0BA9" w:rsidRPr="002D43E2" w:rsidRDefault="008B0BA9" w:rsidP="00BB09AA">
      <w:pPr>
        <w:spacing w:before="100" w:beforeAutospacing="1" w:after="100" w:afterAutospacing="1"/>
        <w:rPr>
          <w:rFonts w:ascii="Times New Roman" w:hAnsi="Times New Roman"/>
          <w:sz w:val="18"/>
          <w:szCs w:val="18"/>
        </w:rPr>
      </w:pPr>
    </w:p>
    <w:sectPr w:rsidR="008B0BA9" w:rsidRPr="002D43E2" w:rsidSect="000151E1">
      <w:headerReference w:type="default" r:id="rId14"/>
      <w:footerReference w:type="default" r:id="rId15"/>
      <w:headerReference w:type="first" r:id="rId16"/>
      <w:footerReference w:type="first" r:id="rId17"/>
      <w:pgSz w:w="11906" w:h="16838"/>
      <w:pgMar w:top="1956"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331" w:rsidRDefault="000E6331" w:rsidP="003F74BE">
      <w:pPr>
        <w:spacing w:line="240" w:lineRule="auto"/>
      </w:pPr>
      <w:r>
        <w:separator/>
      </w:r>
    </w:p>
  </w:endnote>
  <w:endnote w:type="continuationSeparator" w:id="0">
    <w:p w:rsidR="000E6331" w:rsidRDefault="000E6331" w:rsidP="003F7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38" w:rsidRPr="00982417" w:rsidRDefault="000151E1" w:rsidP="00982417">
    <w:pPr>
      <w:pStyle w:val="Fuzeile"/>
      <w:rPr>
        <w:rFonts w:ascii="Arial" w:hAnsi="Arial" w:cs="Arial"/>
        <w:sz w:val="13"/>
        <w:szCs w:val="13"/>
      </w:rPr>
    </w:pPr>
    <w:r>
      <w:rPr>
        <w:rFonts w:ascii="Arial" w:hAnsi="Arial" w:cs="Arial"/>
        <w:sz w:val="13"/>
        <w:szCs w:val="13"/>
      </w:rPr>
      <w:t xml:space="preserve">Page </w:t>
    </w:r>
    <w:r w:rsidR="00982417" w:rsidRPr="00982417">
      <w:rPr>
        <w:rFonts w:ascii="Arial" w:hAnsi="Arial" w:cs="Arial"/>
        <w:sz w:val="13"/>
        <w:szCs w:val="13"/>
      </w:rPr>
      <w:fldChar w:fldCharType="begin"/>
    </w:r>
    <w:r w:rsidR="00982417" w:rsidRPr="00982417">
      <w:rPr>
        <w:rFonts w:ascii="Arial" w:hAnsi="Arial" w:cs="Arial"/>
        <w:sz w:val="13"/>
        <w:szCs w:val="13"/>
      </w:rPr>
      <w:instrText>PAGE   \* MERGEFORMAT</w:instrText>
    </w:r>
    <w:r w:rsidR="00982417" w:rsidRPr="00982417">
      <w:rPr>
        <w:rFonts w:ascii="Arial" w:hAnsi="Arial" w:cs="Arial"/>
        <w:sz w:val="13"/>
        <w:szCs w:val="13"/>
      </w:rPr>
      <w:fldChar w:fldCharType="separate"/>
    </w:r>
    <w:r w:rsidR="001C31DF" w:rsidRPr="001C31DF">
      <w:rPr>
        <w:rFonts w:ascii="Arial" w:hAnsi="Arial" w:cs="Arial"/>
        <w:noProof/>
        <w:sz w:val="13"/>
        <w:szCs w:val="13"/>
        <w:lang w:val="de-DE"/>
      </w:rPr>
      <w:t>2</w:t>
    </w:r>
    <w:r w:rsidR="00982417" w:rsidRPr="00982417">
      <w:rPr>
        <w:rFonts w:ascii="Arial" w:hAnsi="Arial" w:cs="Arial"/>
        <w:sz w:val="13"/>
        <w:szCs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E1" w:rsidRPr="00075CA2" w:rsidRDefault="000151E1" w:rsidP="000151E1">
    <w:pPr>
      <w:pStyle w:val="Fuzeile1"/>
      <w:pBdr>
        <w:top w:val="single" w:sz="4" w:space="3" w:color="auto"/>
      </w:pBdr>
      <w:rPr>
        <w:rStyle w:val="Third"/>
      </w:rPr>
    </w:pPr>
    <w:r w:rsidRPr="00075CA2">
      <w:rPr>
        <w:rStyle w:val="Third"/>
      </w:rPr>
      <w:t>A list of all lawyers at CMS Reich-Rohrwig Hainz is published online at www.cms-rrh.com/disclaimer.</w:t>
    </w:r>
    <w:r>
      <w:rPr>
        <w:rStyle w:val="Third"/>
      </w:rPr>
      <w:t xml:space="preserve"> </w:t>
    </w:r>
    <w:r w:rsidRPr="00075CA2">
      <w:rPr>
        <w:rStyle w:val="Third"/>
      </w:rPr>
      <w:t>CMS Reich-Rohrwig Hainz is a member of CMS, the organisation of European law firms. In certain circumstances, CMS is used as a brand or business name of some or all of the member firms. Further information can be found at www.cmslegal.com.</w:t>
    </w:r>
  </w:p>
  <w:p w:rsidR="00F64D74" w:rsidRPr="000D75FE" w:rsidRDefault="000D75FE" w:rsidP="000151E1">
    <w:pPr>
      <w:pStyle w:val="Fuzeile1"/>
      <w:pBdr>
        <w:top w:val="single" w:sz="4" w:space="3" w:color="auto"/>
      </w:pBdr>
      <w:rPr>
        <w:rStyle w:val="Third"/>
        <w:lang w:val="en-US"/>
      </w:rPr>
    </w:pPr>
    <w:r w:rsidRPr="000D75FE">
      <w:rPr>
        <w:rFonts w:ascii="Arial" w:hAnsi="Arial" w:cs="Arial"/>
        <w:b/>
        <w:bCs/>
        <w:lang w:val="en-US"/>
      </w:rPr>
      <w:t>CMS locations:</w:t>
    </w:r>
    <w:r w:rsidRPr="000D75FE">
      <w:rPr>
        <w:rFonts w:ascii="Arial" w:hAnsi="Arial" w:cs="Arial"/>
        <w:bCs/>
        <w:lang w:val="en-US"/>
      </w:rPr>
      <w:t xml:space="preserve"> Aberdeen, Algiers, Amsterdam, Antwerp, Barcelona, Beijing, Belgrade, Berlin, Bratislava, Bristol, Brussels, Bucharest, Budapest, Casablanca, Cologne, Dubai, </w:t>
    </w:r>
    <w:proofErr w:type="spellStart"/>
    <w:r w:rsidRPr="000D75FE">
      <w:rPr>
        <w:rFonts w:ascii="Arial" w:hAnsi="Arial" w:cs="Arial"/>
        <w:bCs/>
        <w:lang w:val="en-US"/>
      </w:rPr>
      <w:t>Duesseldorf</w:t>
    </w:r>
    <w:proofErr w:type="spellEnd"/>
    <w:r w:rsidRPr="000D75FE">
      <w:rPr>
        <w:rFonts w:ascii="Arial" w:hAnsi="Arial" w:cs="Arial"/>
        <w:bCs/>
        <w:lang w:val="en-US"/>
      </w:rPr>
      <w:t>, Edinburgh, Frankfurt, Geneva, Glasgow, Hamburg, Istanbul, Kyiv, Leipzig, Lisbon, Ljubljana, London, Luxembourg, Lyon, Madrid, Mexico City, Milan, Moscow, Munich, Muscat, Paris, Podgorica, Prague, Rio de Janeiro, Rome, Sarajevo, Seville, Shanghai, Sofia, Strasbourg, Stuttgart, Tirana, Utrecht, Vienna, Warsaw, Zagreb and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331" w:rsidRDefault="000E6331" w:rsidP="003F74BE">
      <w:pPr>
        <w:spacing w:line="240" w:lineRule="auto"/>
      </w:pPr>
      <w:r>
        <w:separator/>
      </w:r>
    </w:p>
  </w:footnote>
  <w:footnote w:type="continuationSeparator" w:id="0">
    <w:p w:rsidR="000E6331" w:rsidRDefault="000E6331" w:rsidP="003F74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38" w:rsidRPr="00B35311" w:rsidRDefault="000151E1" w:rsidP="0031351D">
    <w:pPr>
      <w:autoSpaceDE w:val="0"/>
      <w:autoSpaceDN w:val="0"/>
      <w:adjustRightInd w:val="0"/>
      <w:spacing w:line="240" w:lineRule="auto"/>
      <w:ind w:left="7371" w:right="-284"/>
      <w:rPr>
        <w:rFonts w:ascii="Arial" w:hAnsi="Arial" w:cs="Arial"/>
        <w:b/>
        <w:bCs/>
        <w:color w:val="13294A"/>
        <w:sz w:val="15"/>
        <w:szCs w:val="15"/>
      </w:rPr>
    </w:pPr>
    <w:r>
      <w:rPr>
        <w:noProof/>
        <w:lang w:val="de-AT" w:eastAsia="de-AT"/>
      </w:rPr>
      <w:drawing>
        <wp:anchor distT="0" distB="0" distL="114300" distR="114300" simplePos="0" relativeHeight="251662848" behindDoc="0" locked="0" layoutInCell="1" allowOverlap="1" wp14:anchorId="124A3DCC" wp14:editId="45317853">
          <wp:simplePos x="0" y="0"/>
          <wp:positionH relativeFrom="column">
            <wp:posOffset>4881549</wp:posOffset>
          </wp:positionH>
          <wp:positionV relativeFrom="paragraph">
            <wp:posOffset>38735</wp:posOffset>
          </wp:positionV>
          <wp:extent cx="876095" cy="516128"/>
          <wp:effectExtent l="19050" t="0" r="205" b="0"/>
          <wp:wrapNone/>
          <wp:docPr id="4" name="Picture 4" descr="CMS_Logo_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76095" cy="51612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38" w:rsidRPr="007B794E" w:rsidRDefault="002D43E2">
    <w:pPr>
      <w:pStyle w:val="Kopfzeile"/>
    </w:pPr>
    <w:r>
      <w:rPr>
        <w:noProof/>
        <w:lang w:val="de-AT" w:eastAsia="de-AT"/>
      </w:rPr>
      <w:drawing>
        <wp:anchor distT="0" distB="0" distL="114300" distR="114300" simplePos="0" relativeHeight="251661824" behindDoc="0" locked="0" layoutInCell="1" allowOverlap="1" wp14:anchorId="3186BE55" wp14:editId="1940808C">
          <wp:simplePos x="0" y="0"/>
          <wp:positionH relativeFrom="column">
            <wp:posOffset>4501018</wp:posOffset>
          </wp:positionH>
          <wp:positionV relativeFrom="paragraph">
            <wp:posOffset>70788</wp:posOffset>
          </wp:positionV>
          <wp:extent cx="1095119" cy="645161"/>
          <wp:effectExtent l="0" t="0" r="0" b="2540"/>
          <wp:wrapNone/>
          <wp:docPr id="19" name="Picture 3" descr="CMSLegal_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95119" cy="645161"/>
                  </a:xfrm>
                  <a:prstGeom prst="rect">
                    <a:avLst/>
                  </a:prstGeom>
                </pic:spPr>
              </pic:pic>
            </a:graphicData>
          </a:graphic>
        </wp:anchor>
      </w:drawing>
    </w:r>
    <w:r w:rsidR="00381838">
      <w:rPr>
        <w:noProof/>
        <w:lang w:val="de-AT" w:eastAsia="de-AT"/>
      </w:rPr>
      <mc:AlternateContent>
        <mc:Choice Requires="wps">
          <w:drawing>
            <wp:anchor distT="0" distB="0" distL="114300" distR="114300" simplePos="0" relativeHeight="251662336" behindDoc="0" locked="0" layoutInCell="1" allowOverlap="1" wp14:anchorId="3152BE4F" wp14:editId="4E5BAF1F">
              <wp:simplePos x="0" y="0"/>
              <wp:positionH relativeFrom="column">
                <wp:posOffset>-773784</wp:posOffset>
              </wp:positionH>
              <wp:positionV relativeFrom="paragraph">
                <wp:posOffset>3373078</wp:posOffset>
              </wp:positionV>
              <wp:extent cx="26670" cy="0"/>
              <wp:effectExtent l="0" t="0" r="11430" b="19050"/>
              <wp:wrapNone/>
              <wp:docPr id="6" name="Gerade Verbindung 6"/>
              <wp:cNvGraphicFramePr/>
              <a:graphic xmlns:a="http://schemas.openxmlformats.org/drawingml/2006/main">
                <a:graphicData uri="http://schemas.microsoft.com/office/word/2010/wordprocessingShape">
                  <wps:wsp>
                    <wps:cNvCnPr/>
                    <wps:spPr>
                      <a:xfrm>
                        <a:off x="0" y="0"/>
                        <a:ext cx="2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64274" id="Gerade Verbindung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5pt,265.6pt" to="-58.85pt,2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1B87C1E"/>
    <w:multiLevelType w:val="multilevel"/>
    <w:tmpl w:val="3BE06152"/>
    <w:lvl w:ilvl="0">
      <w:start w:val="1"/>
      <w:numFmt w:val="decimal"/>
      <w:pStyle w:val="Randnotiz"/>
      <w:lvlText w:val="(%1)"/>
      <w:lvlJc w:val="left"/>
      <w:pPr>
        <w:ind w:left="709" w:hanging="709"/>
      </w:pPr>
      <w:rPr>
        <w:rFonts w:hint="default"/>
      </w:rPr>
    </w:lvl>
    <w:lvl w:ilvl="1">
      <w:start w:val="1"/>
      <w:numFmt w:val="lowerLetter"/>
      <w:lvlText w:val="%2."/>
      <w:lvlJc w:val="left"/>
      <w:pPr>
        <w:ind w:left="709" w:hanging="709"/>
      </w:pPr>
      <w:rPr>
        <w:rFonts w:hint="default"/>
      </w:rPr>
    </w:lvl>
    <w:lvl w:ilvl="2">
      <w:start w:val="1"/>
      <w:numFmt w:val="lowerRoman"/>
      <w:lvlText w:val="%3."/>
      <w:lvlJc w:val="righ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2">
    <w:nsid w:val="467B2CD0"/>
    <w:multiLevelType w:val="multilevel"/>
    <w:tmpl w:val="B9020470"/>
    <w:lvl w:ilvl="0">
      <w:start w:val="1"/>
      <w:numFmt w:val="none"/>
      <w:pStyle w:val="IlNote"/>
      <w:lvlText w:val="INTERNAL NOTE:"/>
      <w:lvlJc w:val="left"/>
      <w:pPr>
        <w:tabs>
          <w:tab w:val="num" w:pos="3119"/>
        </w:tabs>
        <w:ind w:left="3119" w:hanging="2552"/>
      </w:pPr>
    </w:lvl>
    <w:lvl w:ilvl="1">
      <w:start w:val="1"/>
      <w:numFmt w:val="none"/>
      <w:isLgl/>
      <w:lvlText w:val=""/>
      <w:lvlJc w:val="left"/>
      <w:pPr>
        <w:tabs>
          <w:tab w:val="num" w:pos="2007"/>
        </w:tabs>
        <w:ind w:left="567" w:firstLine="0"/>
      </w:pPr>
    </w:lvl>
    <w:lvl w:ilvl="2">
      <w:start w:val="1"/>
      <w:numFmt w:val="none"/>
      <w:lvlText w:val=""/>
      <w:lvlJc w:val="left"/>
      <w:pPr>
        <w:tabs>
          <w:tab w:val="num" w:pos="1287"/>
        </w:tabs>
        <w:ind w:left="1287" w:hanging="432"/>
      </w:pPr>
    </w:lvl>
    <w:lvl w:ilvl="3">
      <w:start w:val="1"/>
      <w:numFmt w:val="none"/>
      <w:lvlText w:val=""/>
      <w:lvlJc w:val="right"/>
      <w:pPr>
        <w:tabs>
          <w:tab w:val="num" w:pos="1431"/>
        </w:tabs>
        <w:ind w:left="1431" w:hanging="144"/>
      </w:pPr>
    </w:lvl>
    <w:lvl w:ilvl="4">
      <w:start w:val="1"/>
      <w:numFmt w:val="none"/>
      <w:lvlText w:val=""/>
      <w:lvlJc w:val="left"/>
      <w:pPr>
        <w:tabs>
          <w:tab w:val="num" w:pos="1575"/>
        </w:tabs>
        <w:ind w:left="1575" w:hanging="432"/>
      </w:pPr>
    </w:lvl>
    <w:lvl w:ilvl="5">
      <w:start w:val="1"/>
      <w:numFmt w:val="none"/>
      <w:lvlText w:val=""/>
      <w:lvlJc w:val="left"/>
      <w:pPr>
        <w:tabs>
          <w:tab w:val="num" w:pos="1719"/>
        </w:tabs>
        <w:ind w:left="1719" w:hanging="432"/>
      </w:pPr>
    </w:lvl>
    <w:lvl w:ilvl="6">
      <w:start w:val="1"/>
      <w:numFmt w:val="none"/>
      <w:lvlText w:val=""/>
      <w:lvlJc w:val="right"/>
      <w:pPr>
        <w:tabs>
          <w:tab w:val="num" w:pos="1863"/>
        </w:tabs>
        <w:ind w:left="1863" w:hanging="288"/>
      </w:pPr>
    </w:lvl>
    <w:lvl w:ilvl="7">
      <w:start w:val="1"/>
      <w:numFmt w:val="none"/>
      <w:lvlText w:val=""/>
      <w:lvlJc w:val="left"/>
      <w:pPr>
        <w:tabs>
          <w:tab w:val="num" w:pos="2007"/>
        </w:tabs>
        <w:ind w:left="2007" w:hanging="432"/>
      </w:pPr>
    </w:lvl>
    <w:lvl w:ilvl="8">
      <w:start w:val="1"/>
      <w:numFmt w:val="none"/>
      <w:lvlText w:val=""/>
      <w:lvlJc w:val="right"/>
      <w:pPr>
        <w:tabs>
          <w:tab w:val="num" w:pos="2151"/>
        </w:tabs>
        <w:ind w:left="2151" w:hanging="144"/>
      </w:pPr>
    </w:lvl>
  </w:abstractNum>
  <w:abstractNum w:abstractNumId="3">
    <w:nsid w:val="51D93E1B"/>
    <w:multiLevelType w:val="multilevel"/>
    <w:tmpl w:val="226E2E44"/>
    <w:name w:val="CMSNums"/>
    <w:lvl w:ilvl="0">
      <w:start w:val="1"/>
      <w:numFmt w:val="lowerRoman"/>
      <w:lvlRestart w:val="0"/>
      <w:lvlText w:val="(%1)"/>
      <w:lvlJc w:val="left"/>
      <w:pPr>
        <w:ind w:left="1417" w:hanging="708"/>
      </w:pPr>
      <w:rPr>
        <w:rFonts w:ascii="Times New Roman" w:hAnsi="Times New Roman" w:cs="Times New Roman"/>
      </w:rPr>
    </w:lvl>
    <w:lvl w:ilvl="1">
      <w:start w:val="1"/>
      <w:numFmt w:val="lowerRoman"/>
      <w:lvlRestart w:val="0"/>
      <w:lvlText w:val="(%2)"/>
      <w:lvlJc w:val="left"/>
      <w:pPr>
        <w:ind w:left="2126" w:hanging="709"/>
      </w:pPr>
      <w:rPr>
        <w:rFonts w:ascii="Times New Roman" w:hAnsi="Times New Roman" w:cs="Times New Roman"/>
      </w:rPr>
    </w:lvl>
    <w:lvl w:ilvl="2">
      <w:start w:val="1"/>
      <w:numFmt w:val="lowerRoman"/>
      <w:lvlText w:val="(%3)"/>
      <w:lvlJc w:val="left"/>
      <w:pPr>
        <w:ind w:left="2835" w:hanging="709"/>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07F25B9"/>
    <w:multiLevelType w:val="multilevel"/>
    <w:tmpl w:val="E1B8ED7E"/>
    <w:name w:val="CMS-Heading"/>
    <w:lvl w:ilvl="0">
      <w:start w:val="1"/>
      <w:numFmt w:val="decimal"/>
      <w:lvlRestart w:val="0"/>
      <w:lvlText w:val="%1."/>
      <w:lvlJc w:val="left"/>
      <w:pPr>
        <w:ind w:left="709" w:hanging="709"/>
      </w:pPr>
    </w:lvl>
    <w:lvl w:ilvl="1">
      <w:start w:val="1"/>
      <w:numFmt w:val="decimal"/>
      <w:lvlRestart w:val="0"/>
      <w:lvlText w:val="%1.%2"/>
      <w:lvlJc w:val="left"/>
      <w:pPr>
        <w:ind w:left="709" w:hanging="709"/>
      </w:pPr>
    </w:lvl>
    <w:lvl w:ilvl="2">
      <w:start w:val="1"/>
      <w:numFmt w:val="decimal"/>
      <w:lvlRestart w:val="0"/>
      <w:lvlText w:val="%1.%2.%3"/>
      <w:lvlJc w:val="left"/>
      <w:pPr>
        <w:ind w:left="1417" w:hanging="708"/>
      </w:pPr>
    </w:lvl>
    <w:lvl w:ilvl="3">
      <w:start w:val="1"/>
      <w:numFmt w:val="lowerLetter"/>
      <w:lvlRestart w:val="0"/>
      <w:lvlText w:val="(%1)"/>
      <w:lvlJc w:val="left"/>
      <w:pPr>
        <w:ind w:left="2126" w:hanging="70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BC5346C"/>
    <w:multiLevelType w:val="multilevel"/>
    <w:tmpl w:val="95F42B16"/>
    <w:name w:val="CMSDashlist"/>
    <w:lvl w:ilvl="0">
      <w:start w:val="1"/>
      <w:numFmt w:val="lowerRoman"/>
      <w:lvlRestart w:val="0"/>
      <w:lvlText w:val=""/>
      <w:lvlJc w:val="left"/>
      <w:pPr>
        <w:ind w:left="709" w:hanging="709"/>
      </w:pPr>
      <w:rPr>
        <w:rFonts w:ascii="Symbol" w:hAnsi="Symbol" w:hint="default"/>
      </w:rPr>
    </w:lvl>
    <w:lvl w:ilvl="1">
      <w:start w:val="1"/>
      <w:numFmt w:val="lowerRoman"/>
      <w:lvlRestart w:val="0"/>
      <w:lvlText w:val=""/>
      <w:lvlJc w:val="left"/>
      <w:pPr>
        <w:ind w:left="1134" w:hanging="709"/>
      </w:pPr>
      <w:rPr>
        <w:rFonts w:ascii="Symbol" w:hAnsi="Symbol" w:hint="default"/>
      </w:rPr>
    </w:lvl>
    <w:lvl w:ilvl="2">
      <w:start w:val="1"/>
      <w:numFmt w:val="lowerRoman"/>
      <w:lvlRestart w:val="0"/>
      <w:lvlText w:val=""/>
      <w:lvlJc w:val="left"/>
      <w:pPr>
        <w:ind w:left="1559" w:hanging="709"/>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F564BFA"/>
    <w:multiLevelType w:val="multilevel"/>
    <w:tmpl w:val="97D2D992"/>
    <w:lvl w:ilvl="0">
      <w:start w:val="1"/>
      <w:numFmt w:val="decimal"/>
      <w:pStyle w:val="H1"/>
      <w:lvlText w:val="%1."/>
      <w:lvlJc w:val="left"/>
      <w:pPr>
        <w:ind w:left="709" w:hanging="709"/>
      </w:pPr>
      <w:rPr>
        <w:rFonts w:hint="default"/>
      </w:rPr>
    </w:lvl>
    <w:lvl w:ilvl="1">
      <w:start w:val="1"/>
      <w:numFmt w:val="decimal"/>
      <w:pStyle w:val="H2"/>
      <w:lvlText w:val="%1.%2"/>
      <w:lvlJc w:val="left"/>
      <w:pPr>
        <w:ind w:left="709" w:hanging="709"/>
      </w:pPr>
      <w:rPr>
        <w:rFonts w:hint="default"/>
      </w:rPr>
    </w:lvl>
    <w:lvl w:ilvl="2">
      <w:start w:val="1"/>
      <w:numFmt w:val="decimal"/>
      <w:pStyle w:val="H3"/>
      <w:lvlText w:val="%1.%2.%3"/>
      <w:lvlJc w:val="left"/>
      <w:pPr>
        <w:ind w:left="709" w:hanging="709"/>
      </w:pPr>
      <w:rPr>
        <w:rFonts w:hint="default"/>
      </w:rPr>
    </w:lvl>
    <w:lvl w:ilvl="3">
      <w:start w:val="1"/>
      <w:numFmt w:val="lowerLetter"/>
      <w:pStyle w:val="H4"/>
      <w:lvlText w:val="(%4)"/>
      <w:lvlJc w:val="left"/>
      <w:pPr>
        <w:ind w:left="1418"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6"/>
  </w:num>
  <w:num w:numId="6">
    <w:abstractNumId w:val="6"/>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31"/>
    <w:rsid w:val="00001140"/>
    <w:rsid w:val="000019D9"/>
    <w:rsid w:val="000151E1"/>
    <w:rsid w:val="00034836"/>
    <w:rsid w:val="0005096C"/>
    <w:rsid w:val="00053431"/>
    <w:rsid w:val="0006540A"/>
    <w:rsid w:val="00074FE9"/>
    <w:rsid w:val="00091E25"/>
    <w:rsid w:val="0009422C"/>
    <w:rsid w:val="000B275E"/>
    <w:rsid w:val="000B32F8"/>
    <w:rsid w:val="000C3EC5"/>
    <w:rsid w:val="000C6BD3"/>
    <w:rsid w:val="000D75FE"/>
    <w:rsid w:val="000E6331"/>
    <w:rsid w:val="00100E58"/>
    <w:rsid w:val="00143ACB"/>
    <w:rsid w:val="00147E6C"/>
    <w:rsid w:val="00170041"/>
    <w:rsid w:val="00171F69"/>
    <w:rsid w:val="0019262B"/>
    <w:rsid w:val="00192C94"/>
    <w:rsid w:val="001A2AAA"/>
    <w:rsid w:val="001A49D6"/>
    <w:rsid w:val="001C31C6"/>
    <w:rsid w:val="001C31DF"/>
    <w:rsid w:val="001D2E88"/>
    <w:rsid w:val="001D5DAA"/>
    <w:rsid w:val="001F2F35"/>
    <w:rsid w:val="002524ED"/>
    <w:rsid w:val="0026218E"/>
    <w:rsid w:val="00276AEC"/>
    <w:rsid w:val="00283DDE"/>
    <w:rsid w:val="00291D2A"/>
    <w:rsid w:val="002A24E6"/>
    <w:rsid w:val="002A38DE"/>
    <w:rsid w:val="002C2012"/>
    <w:rsid w:val="002C339B"/>
    <w:rsid w:val="002C5051"/>
    <w:rsid w:val="002D225C"/>
    <w:rsid w:val="002D43E2"/>
    <w:rsid w:val="002F118D"/>
    <w:rsid w:val="0031351D"/>
    <w:rsid w:val="003218C0"/>
    <w:rsid w:val="0035386E"/>
    <w:rsid w:val="00354D21"/>
    <w:rsid w:val="00364C36"/>
    <w:rsid w:val="003677BA"/>
    <w:rsid w:val="00375410"/>
    <w:rsid w:val="00381838"/>
    <w:rsid w:val="0038408B"/>
    <w:rsid w:val="003E4A8A"/>
    <w:rsid w:val="003F74BE"/>
    <w:rsid w:val="00411F30"/>
    <w:rsid w:val="00413305"/>
    <w:rsid w:val="00427C80"/>
    <w:rsid w:val="004377CD"/>
    <w:rsid w:val="004611CC"/>
    <w:rsid w:val="00495984"/>
    <w:rsid w:val="00495B79"/>
    <w:rsid w:val="004A2265"/>
    <w:rsid w:val="004A7BBF"/>
    <w:rsid w:val="004B0902"/>
    <w:rsid w:val="004B7D5F"/>
    <w:rsid w:val="004C1E71"/>
    <w:rsid w:val="004C34B7"/>
    <w:rsid w:val="004E1E37"/>
    <w:rsid w:val="00572E4D"/>
    <w:rsid w:val="005841FD"/>
    <w:rsid w:val="005A0228"/>
    <w:rsid w:val="005C25D9"/>
    <w:rsid w:val="005C3E1B"/>
    <w:rsid w:val="005C74F1"/>
    <w:rsid w:val="005D6B27"/>
    <w:rsid w:val="005E4F40"/>
    <w:rsid w:val="005E752F"/>
    <w:rsid w:val="005F5508"/>
    <w:rsid w:val="00616CDB"/>
    <w:rsid w:val="00634D00"/>
    <w:rsid w:val="00643880"/>
    <w:rsid w:val="0065118A"/>
    <w:rsid w:val="00653A70"/>
    <w:rsid w:val="00662B4D"/>
    <w:rsid w:val="0067467B"/>
    <w:rsid w:val="00683627"/>
    <w:rsid w:val="006B279C"/>
    <w:rsid w:val="006E508B"/>
    <w:rsid w:val="007122C7"/>
    <w:rsid w:val="007359C0"/>
    <w:rsid w:val="00737567"/>
    <w:rsid w:val="007439A2"/>
    <w:rsid w:val="00782860"/>
    <w:rsid w:val="007850F9"/>
    <w:rsid w:val="00792DCC"/>
    <w:rsid w:val="007B69DD"/>
    <w:rsid w:val="007B794E"/>
    <w:rsid w:val="007C4621"/>
    <w:rsid w:val="007E7DE1"/>
    <w:rsid w:val="007F4085"/>
    <w:rsid w:val="007F6A41"/>
    <w:rsid w:val="008113D1"/>
    <w:rsid w:val="00833210"/>
    <w:rsid w:val="008350A6"/>
    <w:rsid w:val="0084452F"/>
    <w:rsid w:val="00866D7C"/>
    <w:rsid w:val="00867EEA"/>
    <w:rsid w:val="008879CA"/>
    <w:rsid w:val="008900E0"/>
    <w:rsid w:val="00890ADE"/>
    <w:rsid w:val="008A3DE7"/>
    <w:rsid w:val="008A6E73"/>
    <w:rsid w:val="008B0BA9"/>
    <w:rsid w:val="008B6A97"/>
    <w:rsid w:val="008D41DA"/>
    <w:rsid w:val="008E406B"/>
    <w:rsid w:val="0091421E"/>
    <w:rsid w:val="00927355"/>
    <w:rsid w:val="0095250A"/>
    <w:rsid w:val="0095470C"/>
    <w:rsid w:val="00976B69"/>
    <w:rsid w:val="00982417"/>
    <w:rsid w:val="009B5D61"/>
    <w:rsid w:val="009B7057"/>
    <w:rsid w:val="00A56EED"/>
    <w:rsid w:val="00A75DC5"/>
    <w:rsid w:val="00A9756E"/>
    <w:rsid w:val="00AA22B0"/>
    <w:rsid w:val="00B00801"/>
    <w:rsid w:val="00B20134"/>
    <w:rsid w:val="00B312A6"/>
    <w:rsid w:val="00B35311"/>
    <w:rsid w:val="00B439B6"/>
    <w:rsid w:val="00B44894"/>
    <w:rsid w:val="00B462A7"/>
    <w:rsid w:val="00B66912"/>
    <w:rsid w:val="00B72C4F"/>
    <w:rsid w:val="00BB09AA"/>
    <w:rsid w:val="00BF4FCC"/>
    <w:rsid w:val="00C01CD4"/>
    <w:rsid w:val="00C0295F"/>
    <w:rsid w:val="00C11F5C"/>
    <w:rsid w:val="00C623BB"/>
    <w:rsid w:val="00C70483"/>
    <w:rsid w:val="00C742A7"/>
    <w:rsid w:val="00C76133"/>
    <w:rsid w:val="00CC593C"/>
    <w:rsid w:val="00CE0556"/>
    <w:rsid w:val="00D05A80"/>
    <w:rsid w:val="00D062DA"/>
    <w:rsid w:val="00D20EF9"/>
    <w:rsid w:val="00D4374D"/>
    <w:rsid w:val="00D46E08"/>
    <w:rsid w:val="00D56A5C"/>
    <w:rsid w:val="00D71C5B"/>
    <w:rsid w:val="00D75214"/>
    <w:rsid w:val="00D75747"/>
    <w:rsid w:val="00D7587C"/>
    <w:rsid w:val="00DF5A04"/>
    <w:rsid w:val="00E05375"/>
    <w:rsid w:val="00E05B0B"/>
    <w:rsid w:val="00E22D50"/>
    <w:rsid w:val="00E25A52"/>
    <w:rsid w:val="00E33F5C"/>
    <w:rsid w:val="00E6731D"/>
    <w:rsid w:val="00E8351E"/>
    <w:rsid w:val="00EB6BE4"/>
    <w:rsid w:val="00EE35EE"/>
    <w:rsid w:val="00EE62BA"/>
    <w:rsid w:val="00F0303A"/>
    <w:rsid w:val="00F05513"/>
    <w:rsid w:val="00F2085D"/>
    <w:rsid w:val="00F64D74"/>
    <w:rsid w:val="00F77924"/>
    <w:rsid w:val="00FA2ACE"/>
    <w:rsid w:val="00FB0A38"/>
    <w:rsid w:val="00FB40E2"/>
    <w:rsid w:val="00FB4A6E"/>
    <w:rsid w:val="00FB6AD8"/>
    <w:rsid w:val="00FC6C8B"/>
    <w:rsid w:val="00FD626D"/>
    <w:rsid w:val="00FE07E4"/>
    <w:rsid w:val="00FE2F2E"/>
    <w:rsid w:val="00FE3FC4"/>
    <w:rsid w:val="00FF45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25B6D8-4AAE-44FE-9BF4-A84FAA43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3E2"/>
    <w:pPr>
      <w:spacing w:before="240" w:after="120" w:line="300" w:lineRule="atLeast"/>
    </w:pPr>
    <w:rPr>
      <w:rFonts w:eastAsia="Times New Roman" w:cs="Times New Roman"/>
      <w:szCs w:val="24"/>
      <w:lang w:val="en-GB" w:eastAsia="de-DE"/>
    </w:rPr>
  </w:style>
  <w:style w:type="paragraph" w:styleId="berschrift1">
    <w:name w:val="heading 1"/>
    <w:basedOn w:val="Standard"/>
    <w:next w:val="Standard"/>
    <w:link w:val="berschrift1Zchn"/>
    <w:uiPriority w:val="9"/>
    <w:rsid w:val="00616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FB4A6E"/>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B4A6E"/>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B4A6E"/>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B4A6E"/>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B4A6E"/>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B4A6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B4A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74B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74BE"/>
  </w:style>
  <w:style w:type="paragraph" w:styleId="Fuzeile">
    <w:name w:val="footer"/>
    <w:link w:val="FuzeileZchn"/>
    <w:uiPriority w:val="99"/>
    <w:unhideWhenUsed/>
    <w:rsid w:val="00427C80"/>
    <w:pPr>
      <w:tabs>
        <w:tab w:val="center" w:pos="4536"/>
        <w:tab w:val="right" w:pos="9072"/>
      </w:tabs>
      <w:spacing w:after="0" w:line="300" w:lineRule="exact"/>
    </w:pPr>
    <w:rPr>
      <w:rFonts w:ascii="Times New Roman" w:hAnsi="Times New Roman"/>
      <w:sz w:val="20"/>
      <w:szCs w:val="24"/>
      <w:lang w:val="en-GB" w:eastAsia="de-DE"/>
    </w:rPr>
  </w:style>
  <w:style w:type="character" w:customStyle="1" w:styleId="FuzeileZchn">
    <w:name w:val="Fußzeile Zchn"/>
    <w:basedOn w:val="Absatz-Standardschriftart"/>
    <w:link w:val="Fuzeile"/>
    <w:uiPriority w:val="99"/>
    <w:rsid w:val="00427C80"/>
    <w:rPr>
      <w:rFonts w:ascii="Times New Roman" w:hAnsi="Times New Roman"/>
      <w:sz w:val="20"/>
      <w:szCs w:val="24"/>
      <w:lang w:val="en-GB" w:eastAsia="de-DE"/>
    </w:rPr>
  </w:style>
  <w:style w:type="paragraph" w:customStyle="1" w:styleId="BoldblackCharChar">
    <w:name w:val="Bold_black Char Char"/>
    <w:basedOn w:val="Standard"/>
    <w:link w:val="BoldblackCharCharChar"/>
    <w:rsid w:val="00001140"/>
    <w:pPr>
      <w:tabs>
        <w:tab w:val="left" w:pos="2556"/>
      </w:tabs>
      <w:spacing w:after="284" w:line="240" w:lineRule="atLeast"/>
      <w:ind w:left="1440" w:right="720"/>
    </w:pPr>
    <w:rPr>
      <w:rFonts w:ascii="Arial" w:hAnsi="Arial"/>
      <w:b/>
      <w:bCs/>
      <w:color w:val="000000"/>
      <w:sz w:val="18"/>
      <w:szCs w:val="18"/>
      <w:lang w:val="de-DE"/>
    </w:rPr>
  </w:style>
  <w:style w:type="character" w:customStyle="1" w:styleId="BoldblackCharCharChar">
    <w:name w:val="Bold_black Char Char Char"/>
    <w:link w:val="BoldblackCharChar"/>
    <w:rsid w:val="00001140"/>
    <w:rPr>
      <w:rFonts w:ascii="Arial" w:eastAsia="Times New Roman" w:hAnsi="Arial" w:cs="Times New Roman"/>
      <w:b/>
      <w:bCs/>
      <w:color w:val="000000"/>
      <w:sz w:val="18"/>
      <w:szCs w:val="18"/>
      <w:lang w:val="de-DE" w:eastAsia="de-DE"/>
    </w:rPr>
  </w:style>
  <w:style w:type="paragraph" w:customStyle="1" w:styleId="Senderline">
    <w:name w:val="Sender_line"/>
    <w:basedOn w:val="Standard"/>
    <w:link w:val="SenderlineChar"/>
    <w:rsid w:val="0031351D"/>
    <w:pPr>
      <w:autoSpaceDE w:val="0"/>
      <w:autoSpaceDN w:val="0"/>
      <w:adjustRightInd w:val="0"/>
      <w:spacing w:before="0" w:line="200" w:lineRule="atLeast"/>
    </w:pPr>
    <w:rPr>
      <w:rFonts w:cs="Arial"/>
      <w:sz w:val="15"/>
      <w:szCs w:val="15"/>
      <w:lang w:val="de-DE"/>
    </w:rPr>
  </w:style>
  <w:style w:type="paragraph" w:customStyle="1" w:styleId="Senderfirmname">
    <w:name w:val="Sender_firm name"/>
    <w:basedOn w:val="Standard"/>
    <w:rsid w:val="00001140"/>
    <w:pPr>
      <w:autoSpaceDE w:val="0"/>
      <w:autoSpaceDN w:val="0"/>
      <w:adjustRightInd w:val="0"/>
      <w:spacing w:after="60" w:line="200" w:lineRule="atLeast"/>
    </w:pPr>
    <w:rPr>
      <w:rFonts w:ascii="Arial" w:hAnsi="Arial" w:cs="Arial"/>
      <w:b/>
      <w:bCs/>
      <w:color w:val="13294A"/>
      <w:sz w:val="15"/>
      <w:szCs w:val="15"/>
      <w:lang w:val="es-ES"/>
    </w:rPr>
  </w:style>
  <w:style w:type="character" w:customStyle="1" w:styleId="SenderlineChar">
    <w:name w:val="Sender_line Char"/>
    <w:link w:val="Senderline"/>
    <w:rsid w:val="0031351D"/>
    <w:rPr>
      <w:rFonts w:ascii="Times New Roman" w:eastAsia="Times New Roman" w:hAnsi="Times New Roman" w:cs="Arial"/>
      <w:sz w:val="15"/>
      <w:szCs w:val="15"/>
      <w:lang w:val="de-DE" w:eastAsia="de-DE"/>
    </w:rPr>
  </w:style>
  <w:style w:type="character" w:customStyle="1" w:styleId="Third">
    <w:name w:val="Third"/>
    <w:rsid w:val="002C339B"/>
    <w:rPr>
      <w:rFonts w:ascii="Arial" w:hAnsi="Arial" w:hint="default"/>
      <w:sz w:val="13"/>
      <w:szCs w:val="13"/>
    </w:rPr>
  </w:style>
  <w:style w:type="paragraph" w:customStyle="1" w:styleId="Kopf">
    <w:name w:val="Kopf"/>
    <w:rsid w:val="001D5DAA"/>
    <w:pPr>
      <w:spacing w:after="0" w:line="240" w:lineRule="auto"/>
      <w:ind w:left="1843" w:hanging="1843"/>
    </w:pPr>
    <w:rPr>
      <w:rFonts w:ascii="Times New Roman" w:eastAsia="Times New Roman" w:hAnsi="Times New Roman" w:cs="Times New Roman"/>
      <w:sz w:val="24"/>
      <w:szCs w:val="20"/>
      <w:lang w:val="de-DE" w:eastAsia="de-DE"/>
    </w:rPr>
  </w:style>
  <w:style w:type="paragraph" w:customStyle="1" w:styleId="Beilagen">
    <w:name w:val="Beilagen"/>
    <w:rsid w:val="005F5508"/>
    <w:pPr>
      <w:spacing w:after="0" w:line="300" w:lineRule="exact"/>
      <w:ind w:left="425" w:hanging="425"/>
      <w:jc w:val="both"/>
    </w:pPr>
    <w:rPr>
      <w:rFonts w:ascii="Times New Roman" w:eastAsia="Times New Roman" w:hAnsi="Times New Roman" w:cs="Times New Roman"/>
      <w:szCs w:val="20"/>
      <w:lang w:val="en-GB" w:eastAsia="de-DE"/>
    </w:rPr>
  </w:style>
  <w:style w:type="paragraph" w:customStyle="1" w:styleId="Abschlu">
    <w:name w:val="Abschluß"/>
    <w:basedOn w:val="Standard"/>
    <w:rsid w:val="001D5DAA"/>
    <w:pPr>
      <w:tabs>
        <w:tab w:val="center" w:pos="5245"/>
        <w:tab w:val="center" w:pos="7088"/>
      </w:tabs>
      <w:spacing w:before="0" w:line="240" w:lineRule="auto"/>
    </w:pPr>
    <w:rPr>
      <w:sz w:val="26"/>
      <w:szCs w:val="20"/>
    </w:rPr>
  </w:style>
  <w:style w:type="paragraph" w:customStyle="1" w:styleId="Receiver">
    <w:name w:val="Receiver"/>
    <w:rsid w:val="002D225C"/>
    <w:pPr>
      <w:spacing w:after="0" w:line="300" w:lineRule="exact"/>
    </w:pPr>
    <w:rPr>
      <w:rFonts w:ascii="Times New Roman" w:hAnsi="Times New Roman"/>
      <w:sz w:val="24"/>
      <w:szCs w:val="24"/>
    </w:rPr>
  </w:style>
  <w:style w:type="paragraph" w:customStyle="1" w:styleId="CMSRRHBlock">
    <w:name w:val="CMSRRHBlock"/>
    <w:rsid w:val="004611CC"/>
    <w:rPr>
      <w:rFonts w:ascii="Times New Roman" w:eastAsia="Times New Roman" w:hAnsi="Times New Roman" w:cs="Times New Roman"/>
      <w:b/>
      <w:sz w:val="15"/>
      <w:szCs w:val="15"/>
      <w:lang w:val="de-DE" w:eastAsia="de-DE"/>
    </w:rPr>
  </w:style>
  <w:style w:type="paragraph" w:customStyle="1" w:styleId="H1">
    <w:name w:val="H 1"/>
    <w:basedOn w:val="Standard"/>
    <w:next w:val="I1"/>
    <w:qFormat/>
    <w:rsid w:val="00E33F5C"/>
    <w:pPr>
      <w:numPr>
        <w:numId w:val="7"/>
      </w:numPr>
      <w:outlineLvl w:val="0"/>
    </w:pPr>
    <w:rPr>
      <w:b/>
    </w:rPr>
  </w:style>
  <w:style w:type="paragraph" w:customStyle="1" w:styleId="H2">
    <w:name w:val="H 2"/>
    <w:basedOn w:val="H1"/>
    <w:next w:val="I2"/>
    <w:qFormat/>
    <w:rsid w:val="00E33F5C"/>
    <w:pPr>
      <w:numPr>
        <w:ilvl w:val="1"/>
      </w:numPr>
      <w:spacing w:after="0"/>
      <w:outlineLvl w:val="1"/>
    </w:pPr>
    <w:rPr>
      <w:i/>
    </w:rPr>
  </w:style>
  <w:style w:type="paragraph" w:customStyle="1" w:styleId="H3">
    <w:name w:val="H 3"/>
    <w:basedOn w:val="H2"/>
    <w:next w:val="I3"/>
    <w:qFormat/>
    <w:rsid w:val="00E33F5C"/>
    <w:pPr>
      <w:numPr>
        <w:ilvl w:val="2"/>
      </w:numPr>
      <w:spacing w:before="120"/>
      <w:outlineLvl w:val="2"/>
    </w:pPr>
    <w:rPr>
      <w:b w:val="0"/>
    </w:rPr>
  </w:style>
  <w:style w:type="paragraph" w:customStyle="1" w:styleId="H4">
    <w:name w:val="H 4"/>
    <w:basedOn w:val="H3"/>
    <w:next w:val="I4"/>
    <w:qFormat/>
    <w:rsid w:val="00E33F5C"/>
    <w:pPr>
      <w:numPr>
        <w:ilvl w:val="3"/>
      </w:numPr>
      <w:outlineLvl w:val="3"/>
    </w:pPr>
  </w:style>
  <w:style w:type="paragraph" w:customStyle="1" w:styleId="I1">
    <w:name w:val="I 1"/>
    <w:basedOn w:val="Standard"/>
    <w:qFormat/>
    <w:rsid w:val="00E33F5C"/>
  </w:style>
  <w:style w:type="paragraph" w:customStyle="1" w:styleId="I2">
    <w:name w:val="I 2"/>
    <w:basedOn w:val="I1"/>
    <w:qFormat/>
    <w:rsid w:val="00E33F5C"/>
  </w:style>
  <w:style w:type="paragraph" w:customStyle="1" w:styleId="I3">
    <w:name w:val="I 3"/>
    <w:basedOn w:val="I2"/>
    <w:qFormat/>
    <w:rsid w:val="00E33F5C"/>
  </w:style>
  <w:style w:type="paragraph" w:customStyle="1" w:styleId="I4">
    <w:name w:val="I 4"/>
    <w:basedOn w:val="I3"/>
    <w:qFormat/>
    <w:rsid w:val="00E33F5C"/>
    <w:pPr>
      <w:ind w:left="709"/>
    </w:pPr>
  </w:style>
  <w:style w:type="paragraph" w:customStyle="1" w:styleId="IlNote">
    <w:name w:val="Il Note"/>
    <w:basedOn w:val="Standard"/>
    <w:next w:val="Standard"/>
    <w:qFormat/>
    <w:rsid w:val="00E33F5C"/>
    <w:pPr>
      <w:numPr>
        <w:numId w:val="8"/>
      </w:numPr>
      <w:pBdr>
        <w:top w:val="single" w:sz="4" w:space="2" w:color="000000" w:shadow="1"/>
        <w:left w:val="single" w:sz="4" w:space="4" w:color="000000" w:shadow="1"/>
        <w:bottom w:val="single" w:sz="4" w:space="3" w:color="000000" w:shadow="1"/>
        <w:right w:val="single" w:sz="4" w:space="4" w:color="000000" w:shadow="1"/>
      </w:pBdr>
      <w:spacing w:before="180" w:line="340" w:lineRule="exact"/>
    </w:pPr>
    <w:rPr>
      <w:color w:val="FF0000"/>
    </w:rPr>
  </w:style>
  <w:style w:type="character" w:customStyle="1" w:styleId="berschrift3Zchn">
    <w:name w:val="Überschrift 3 Zchn"/>
    <w:basedOn w:val="Absatz-Standardschriftart"/>
    <w:link w:val="berschrift3"/>
    <w:uiPriority w:val="9"/>
    <w:semiHidden/>
    <w:rsid w:val="00FB4A6E"/>
    <w:rPr>
      <w:rFonts w:asciiTheme="majorHAnsi" w:eastAsiaTheme="majorEastAsia" w:hAnsiTheme="majorHAnsi" w:cstheme="majorBidi"/>
      <w:b/>
      <w:bCs/>
      <w:color w:val="4F81BD" w:themeColor="accent1"/>
      <w:sz w:val="24"/>
    </w:rPr>
  </w:style>
  <w:style w:type="character" w:customStyle="1" w:styleId="berschrift4Zchn">
    <w:name w:val="Überschrift 4 Zchn"/>
    <w:basedOn w:val="Absatz-Standardschriftart"/>
    <w:link w:val="berschrift4"/>
    <w:uiPriority w:val="9"/>
    <w:semiHidden/>
    <w:rsid w:val="00FB4A6E"/>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FB4A6E"/>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FB4A6E"/>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FB4A6E"/>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FB4A6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B4A6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FB4A6E"/>
    <w:pPr>
      <w:spacing w:before="0" w:after="200" w:line="240" w:lineRule="auto"/>
    </w:pPr>
    <w:rPr>
      <w:b/>
      <w:bCs/>
      <w:color w:val="4F81BD" w:themeColor="accent1"/>
      <w:sz w:val="18"/>
      <w:szCs w:val="18"/>
    </w:rPr>
  </w:style>
  <w:style w:type="character" w:styleId="Fett">
    <w:name w:val="Strong"/>
    <w:uiPriority w:val="22"/>
    <w:qFormat/>
    <w:rsid w:val="00FB4A6E"/>
    <w:rPr>
      <w:b/>
      <w:bCs/>
    </w:rPr>
  </w:style>
  <w:style w:type="character" w:styleId="Hervorhebung">
    <w:name w:val="Emphasis"/>
    <w:aliases w:val="kursiv"/>
    <w:basedOn w:val="Absatz-Standardschriftart"/>
    <w:uiPriority w:val="20"/>
    <w:qFormat/>
    <w:rsid w:val="00E33F5C"/>
    <w:rPr>
      <w:i/>
      <w:iCs/>
    </w:rPr>
  </w:style>
  <w:style w:type="paragraph" w:styleId="KeinLeerraum">
    <w:name w:val="No Spacing"/>
    <w:basedOn w:val="Standard"/>
    <w:link w:val="KeinLeerraumZchn"/>
    <w:uiPriority w:val="1"/>
    <w:qFormat/>
    <w:rsid w:val="00FB4A6E"/>
    <w:pPr>
      <w:spacing w:before="0" w:line="240" w:lineRule="auto"/>
    </w:pPr>
  </w:style>
  <w:style w:type="character" w:customStyle="1" w:styleId="KeinLeerraumZchn">
    <w:name w:val="Kein Leerraum Zchn"/>
    <w:basedOn w:val="Absatz-Standardschriftart"/>
    <w:link w:val="KeinLeerraum"/>
    <w:uiPriority w:val="1"/>
    <w:rsid w:val="00FB4A6E"/>
    <w:rPr>
      <w:rFonts w:ascii="Times New Roman" w:hAnsi="Times New Roman"/>
      <w:sz w:val="24"/>
    </w:rPr>
  </w:style>
  <w:style w:type="paragraph" w:styleId="Listenabsatz">
    <w:name w:val="List Paragraph"/>
    <w:basedOn w:val="Standard"/>
    <w:link w:val="ListenabsatzZchn"/>
    <w:uiPriority w:val="34"/>
    <w:rsid w:val="00FB4A6E"/>
    <w:pPr>
      <w:ind w:left="720"/>
      <w:contextualSpacing/>
    </w:pPr>
  </w:style>
  <w:style w:type="character" w:customStyle="1" w:styleId="ListenabsatzZchn">
    <w:name w:val="Listenabsatz Zchn"/>
    <w:basedOn w:val="Absatz-Standardschriftart"/>
    <w:link w:val="Listenabsatz"/>
    <w:uiPriority w:val="34"/>
    <w:rsid w:val="00FB4A6E"/>
    <w:rPr>
      <w:rFonts w:ascii="Times New Roman" w:hAnsi="Times New Roman"/>
      <w:sz w:val="24"/>
    </w:rPr>
  </w:style>
  <w:style w:type="character" w:customStyle="1" w:styleId="berschrift1Zchn">
    <w:name w:val="Überschrift 1 Zchn"/>
    <w:basedOn w:val="Absatz-Standardschriftart"/>
    <w:link w:val="berschrift1"/>
    <w:uiPriority w:val="9"/>
    <w:rsid w:val="00616CDB"/>
    <w:rPr>
      <w:rFonts w:asciiTheme="majorHAnsi" w:eastAsiaTheme="majorEastAsia" w:hAnsiTheme="majorHAnsi" w:cstheme="majorBidi"/>
      <w:b/>
      <w:bCs/>
      <w:color w:val="365F91" w:themeColor="accent1" w:themeShade="BF"/>
      <w:sz w:val="28"/>
      <w:szCs w:val="28"/>
      <w:lang w:val="en-GB" w:eastAsia="de-DE"/>
    </w:rPr>
  </w:style>
  <w:style w:type="paragraph" w:styleId="Inhaltsverzeichnisberschrift">
    <w:name w:val="TOC Heading"/>
    <w:basedOn w:val="berschrift1"/>
    <w:next w:val="Standard"/>
    <w:uiPriority w:val="39"/>
    <w:semiHidden/>
    <w:unhideWhenUsed/>
    <w:qFormat/>
    <w:rsid w:val="00FB4A6E"/>
    <w:pPr>
      <w:outlineLvl w:val="9"/>
    </w:pPr>
  </w:style>
  <w:style w:type="paragraph" w:customStyle="1" w:styleId="CMSRRHStamp">
    <w:name w:val="CMSRRHStamp"/>
    <w:rsid w:val="00143ACB"/>
    <w:pPr>
      <w:tabs>
        <w:tab w:val="center" w:pos="4536"/>
      </w:tabs>
      <w:spacing w:after="0" w:line="300" w:lineRule="exact"/>
      <w:jc w:val="center"/>
    </w:pPr>
    <w:rPr>
      <w:rFonts w:ascii="Times New Roman" w:eastAsia="Times New Roman" w:hAnsi="Times New Roman" w:cs="Times New Roman"/>
      <w:sz w:val="24"/>
      <w:szCs w:val="24"/>
      <w:lang w:val="en-GB" w:eastAsia="de-DE"/>
    </w:rPr>
  </w:style>
  <w:style w:type="paragraph" w:customStyle="1" w:styleId="Fuzeile1">
    <w:name w:val="Fußzeile1"/>
    <w:rsid w:val="00E25A52"/>
    <w:pPr>
      <w:pBdr>
        <w:top w:val="single" w:sz="4" w:space="0" w:color="auto"/>
        <w:left w:val="single" w:sz="6" w:space="0" w:color="FFFFFF"/>
        <w:bottom w:val="single" w:sz="6" w:space="0" w:color="FFFFFF"/>
        <w:right w:val="single" w:sz="6" w:space="0" w:color="FFFFFF"/>
      </w:pBdr>
      <w:spacing w:before="60" w:after="0" w:line="160" w:lineRule="exact"/>
      <w:jc w:val="both"/>
    </w:pPr>
    <w:rPr>
      <w:rFonts w:ascii="Times New Roman" w:hAnsi="Times New Roman" w:cs="Times New Roman"/>
      <w:sz w:val="13"/>
      <w:szCs w:val="13"/>
      <w:lang w:val="en-GB" w:eastAsia="de-DE"/>
    </w:rPr>
  </w:style>
  <w:style w:type="paragraph" w:customStyle="1" w:styleId="Subject">
    <w:name w:val="Subject"/>
    <w:rsid w:val="0006540A"/>
    <w:pPr>
      <w:spacing w:after="0" w:line="300" w:lineRule="exact"/>
    </w:pPr>
    <w:rPr>
      <w:rFonts w:ascii="Times New Roman" w:hAnsi="Times New Roman"/>
      <w:sz w:val="24"/>
      <w:szCs w:val="24"/>
    </w:rPr>
  </w:style>
  <w:style w:type="paragraph" w:styleId="Funotentext">
    <w:name w:val="footnote text"/>
    <w:basedOn w:val="Standard"/>
    <w:link w:val="FunotentextZchn"/>
    <w:uiPriority w:val="99"/>
    <w:qFormat/>
    <w:rsid w:val="00E33F5C"/>
    <w:pPr>
      <w:spacing w:line="240" w:lineRule="auto"/>
      <w:ind w:left="142" w:hanging="142"/>
    </w:pPr>
    <w:rPr>
      <w:sz w:val="20"/>
      <w:szCs w:val="20"/>
    </w:rPr>
  </w:style>
  <w:style w:type="character" w:customStyle="1" w:styleId="FunotentextZchn">
    <w:name w:val="Fußnotentext Zchn"/>
    <w:basedOn w:val="Absatz-Standardschriftart"/>
    <w:link w:val="Funotentext"/>
    <w:uiPriority w:val="99"/>
    <w:rsid w:val="00E33F5C"/>
    <w:rPr>
      <w:rFonts w:ascii="Times New Roman" w:hAnsi="Times New Roman"/>
      <w:sz w:val="20"/>
      <w:szCs w:val="20"/>
    </w:rPr>
  </w:style>
  <w:style w:type="character" w:styleId="Funotenzeichen">
    <w:name w:val="footnote reference"/>
    <w:basedOn w:val="Absatz-Standardschriftart"/>
    <w:uiPriority w:val="99"/>
    <w:semiHidden/>
    <w:unhideWhenUsed/>
    <w:rsid w:val="008A3DE7"/>
    <w:rPr>
      <w:vertAlign w:val="superscript"/>
    </w:rPr>
  </w:style>
  <w:style w:type="table" w:styleId="Tabellenraster">
    <w:name w:val="Table Grid"/>
    <w:basedOn w:val="NormaleTabelle"/>
    <w:rsid w:val="00FB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794E"/>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94E"/>
    <w:rPr>
      <w:rFonts w:ascii="Tahoma" w:hAnsi="Tahoma" w:cs="Tahoma"/>
      <w:sz w:val="16"/>
      <w:szCs w:val="16"/>
      <w:lang w:val="en-GB" w:eastAsia="de-DE"/>
    </w:rPr>
  </w:style>
  <w:style w:type="paragraph" w:customStyle="1" w:styleId="Memoheader">
    <w:name w:val="Memoheader"/>
    <w:rsid w:val="007F6A41"/>
    <w:pPr>
      <w:pBdr>
        <w:between w:val="dashSmallGap" w:sz="4" w:space="1" w:color="766A62"/>
      </w:pBdr>
      <w:tabs>
        <w:tab w:val="left" w:pos="1428"/>
        <w:tab w:val="left" w:pos="9372"/>
      </w:tabs>
      <w:spacing w:after="120"/>
      <w:ind w:right="-18"/>
    </w:pPr>
    <w:rPr>
      <w:rFonts w:ascii="Times New Roman" w:eastAsia="Times New Roman" w:hAnsi="Times New Roman" w:cs="Times New Roman"/>
      <w:bCs/>
      <w:sz w:val="24"/>
      <w:szCs w:val="24"/>
      <w:lang w:eastAsia="de-DE"/>
    </w:rPr>
  </w:style>
  <w:style w:type="paragraph" w:customStyle="1" w:styleId="Randnotiz">
    <w:name w:val="Randnotiz"/>
    <w:basedOn w:val="Standard"/>
    <w:qFormat/>
    <w:rsid w:val="00E33F5C"/>
    <w:pPr>
      <w:numPr>
        <w:numId w:val="9"/>
      </w:numPr>
    </w:pPr>
  </w:style>
  <w:style w:type="numbering" w:styleId="1ai">
    <w:name w:val="Outline List 1"/>
    <w:basedOn w:val="KeineListe"/>
    <w:semiHidden/>
    <w:rsid w:val="002D43E2"/>
    <w:pPr>
      <w:numPr>
        <w:numId w:val="10"/>
      </w:numPr>
    </w:pPr>
  </w:style>
  <w:style w:type="character" w:styleId="Hyperlink">
    <w:name w:val="Hyperlink"/>
    <w:basedOn w:val="Absatz-Standardschriftart"/>
    <w:uiPriority w:val="99"/>
    <w:rsid w:val="002D43E2"/>
    <w:rPr>
      <w:color w:val="0000FF"/>
      <w:u w:val="single"/>
    </w:rPr>
  </w:style>
  <w:style w:type="character" w:styleId="Seitenzahl">
    <w:name w:val="page number"/>
    <w:basedOn w:val="Absatz-Standardschriftart"/>
    <w:rsid w:val="002D43E2"/>
  </w:style>
  <w:style w:type="paragraph" w:styleId="Textkrper">
    <w:name w:val="Body Text"/>
    <w:basedOn w:val="Standard"/>
    <w:link w:val="TextkrperZchn"/>
    <w:semiHidden/>
    <w:rsid w:val="002D43E2"/>
    <w:pPr>
      <w:jc w:val="both"/>
    </w:pPr>
  </w:style>
  <w:style w:type="character" w:customStyle="1" w:styleId="TextkrperZchn">
    <w:name w:val="Textkörper Zchn"/>
    <w:basedOn w:val="Absatz-Standardschriftart"/>
    <w:link w:val="Textkrper"/>
    <w:semiHidden/>
    <w:rsid w:val="002D43E2"/>
    <w:rPr>
      <w:rFonts w:eastAsia="Times New Roman" w:cs="Times New Roman"/>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cms-rrh.com/" TargetMode="External"/><Relationship Id="rId13" Type="http://schemas.openxmlformats.org/officeDocument/2006/relationships/hyperlink" Target="http://www.cmslega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s-rrh.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cms-rr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4.png@01CE6911.79B21EC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_%20Marketing%20NEU\Kommunikation\Externe%20PR\Press%20Release\VORLAGE\CMS_Press_Release_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DF89-3095-4065-AF90-B63C5C48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CMS_Press_Release_EN.dotx</Template>
  <TotalTime>0</TotalTime>
  <Pages>2</Pages>
  <Words>729</Words>
  <Characters>4596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Fax German</vt:lpstr>
    </vt:vector>
  </TitlesOfParts>
  <Manager>CMS Reich-Rohwig Hainz Rechtsanwälte GmbH</Manager>
  <Company>CMS Reich-Rohwig Hainz Rechtsanwälte GmbH</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German</dc:title>
  <dc:creator>Lastro Kristijana</dc:creator>
  <cp:lastModifiedBy>Breitenecker Christoph</cp:lastModifiedBy>
  <cp:revision>2</cp:revision>
  <cp:lastPrinted>2012-03-27T14:04:00Z</cp:lastPrinted>
  <dcterms:created xsi:type="dcterms:W3CDTF">2014-10-13T11:45:00Z</dcterms:created>
  <dcterms:modified xsi:type="dcterms:W3CDTF">2014-10-13T11:45:00Z</dcterms:modified>
</cp:coreProperties>
</file>