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51B" w:rsidRDefault="00817D8E" w:rsidP="00F7751B">
      <w:pPr>
        <w:jc w:val="center"/>
        <w:rPr>
          <w:u w:val="single"/>
        </w:rPr>
      </w:pPr>
      <w:bookmarkStart w:id="0" w:name="_GoBack"/>
      <w:bookmarkEnd w:id="0"/>
      <w:r w:rsidRPr="00364DFD">
        <w:rPr>
          <w:noProof/>
        </w:rPr>
        <w:drawing>
          <wp:inline distT="0" distB="0" distL="0" distR="0">
            <wp:extent cx="969645" cy="965200"/>
            <wp:effectExtent l="0" t="0" r="1905" b="635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965200"/>
                    </a:xfrm>
                    <a:prstGeom prst="rect">
                      <a:avLst/>
                    </a:prstGeom>
                    <a:noFill/>
                    <a:ln>
                      <a:noFill/>
                    </a:ln>
                  </pic:spPr>
                </pic:pic>
              </a:graphicData>
            </a:graphic>
          </wp:inline>
        </w:drawing>
      </w:r>
    </w:p>
    <w:p w:rsidR="00817D8E" w:rsidRDefault="00817D8E" w:rsidP="005727A9">
      <w:pPr>
        <w:jc w:val="both"/>
        <w:rPr>
          <w:u w:val="single"/>
        </w:rPr>
      </w:pPr>
    </w:p>
    <w:p w:rsidR="005727A9" w:rsidRPr="005727A9" w:rsidRDefault="005727A9" w:rsidP="005727A9">
      <w:pPr>
        <w:jc w:val="both"/>
      </w:pPr>
      <w:r>
        <w:rPr>
          <w:u w:val="single"/>
        </w:rPr>
        <w:t xml:space="preserve">Neutral Citation Number: </w:t>
      </w:r>
      <w:r w:rsidR="00AE06D1">
        <w:t>[2018</w:t>
      </w:r>
      <w:r>
        <w:t xml:space="preserve">] EWHC </w:t>
      </w:r>
      <w:r w:rsidR="00401178">
        <w:t>3363 (TCC)</w:t>
      </w:r>
    </w:p>
    <w:p w:rsidR="00F7751B" w:rsidRDefault="00F7751B" w:rsidP="00F7751B">
      <w:pPr>
        <w:jc w:val="right"/>
        <w:rPr>
          <w:u w:val="single"/>
        </w:rPr>
      </w:pPr>
      <w:r>
        <w:rPr>
          <w:u w:val="single"/>
        </w:rPr>
        <w:t>C</w:t>
      </w:r>
      <w:r w:rsidR="008F77EB">
        <w:rPr>
          <w:u w:val="single"/>
        </w:rPr>
        <w:t>laim</w:t>
      </w:r>
      <w:r>
        <w:rPr>
          <w:u w:val="single"/>
        </w:rPr>
        <w:t xml:space="preserve"> No:</w:t>
      </w:r>
      <w:r w:rsidR="00B031A4">
        <w:rPr>
          <w:u w:val="single"/>
        </w:rPr>
        <w:t xml:space="preserve"> </w:t>
      </w:r>
      <w:r w:rsidR="00B031A4" w:rsidRPr="00B031A4">
        <w:rPr>
          <w:bCs/>
          <w:u w:val="single"/>
        </w:rPr>
        <w:t>HT-2018-000250</w:t>
      </w:r>
      <w:r>
        <w:rPr>
          <w:u w:val="single"/>
        </w:rPr>
        <w:t xml:space="preserve"> </w:t>
      </w:r>
      <w:r w:rsidR="008F77EB">
        <w:rPr>
          <w:u w:val="single"/>
        </w:rPr>
        <w:t xml:space="preserve">  </w:t>
      </w:r>
    </w:p>
    <w:p w:rsidR="00F7751B" w:rsidRDefault="00F7751B"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b/>
          <w:spacing w:val="-3"/>
          <w:u w:val="single"/>
        </w:rPr>
      </w:pPr>
    </w:p>
    <w:p w:rsidR="00F7751B" w:rsidRDefault="00F7751B"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pacing w:val="-3"/>
          <w:u w:val="single"/>
        </w:rPr>
      </w:pPr>
      <w:r>
        <w:rPr>
          <w:b/>
          <w:spacing w:val="-3"/>
          <w:u w:val="single"/>
        </w:rPr>
        <w:t>IN THE HIGH COURT OF JUSTICE</w:t>
      </w:r>
    </w:p>
    <w:p w:rsidR="00F7751B" w:rsidRDefault="00AE06D1"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pacing w:val="-3"/>
          <w:u w:val="single"/>
        </w:rPr>
      </w:pPr>
      <w:r>
        <w:rPr>
          <w:b/>
          <w:spacing w:val="-3"/>
          <w:u w:val="single"/>
        </w:rPr>
        <w:t>BUSINESS AND PROPERTY COURTS OF ENGLAND AND WALES</w:t>
      </w:r>
    </w:p>
    <w:p w:rsidR="00F7751B" w:rsidRDefault="00F45E27"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pacing w:val="-3"/>
          <w:u w:val="single"/>
        </w:rPr>
      </w:pPr>
      <w:r>
        <w:rPr>
          <w:b/>
          <w:spacing w:val="-3"/>
          <w:u w:val="single"/>
        </w:rPr>
        <w:t>TECHNOLOGY AND CONSTRUCTION COURT</w:t>
      </w:r>
      <w:r w:rsidR="00D73A37">
        <w:rPr>
          <w:b/>
          <w:spacing w:val="-3"/>
          <w:u w:val="single"/>
        </w:rPr>
        <w:t xml:space="preserve"> </w:t>
      </w:r>
      <w:r w:rsidR="00AE06D1">
        <w:rPr>
          <w:b/>
          <w:spacing w:val="-3"/>
          <w:u w:val="single"/>
        </w:rPr>
        <w:t>(QBD)</w:t>
      </w:r>
    </w:p>
    <w:p w:rsidR="00F7751B" w:rsidRDefault="00F7751B"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pacing w:val="-3"/>
          <w:u w:val="single"/>
        </w:rPr>
      </w:pPr>
    </w:p>
    <w:p w:rsidR="00F7751B" w:rsidRDefault="00F7751B"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pacing w:val="-3"/>
          <w:u w:val="single"/>
        </w:rPr>
      </w:pPr>
    </w:p>
    <w:p w:rsidR="00F7751B" w:rsidRDefault="00F7751B"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b/>
          <w:spacing w:val="-3"/>
          <w:u w:val="single"/>
        </w:rPr>
      </w:pPr>
      <w:r>
        <w:rPr>
          <w:spacing w:val="-3"/>
          <w:u w:val="single"/>
        </w:rPr>
        <w:t xml:space="preserve">Date: </w:t>
      </w:r>
      <w:r w:rsidR="00A03733">
        <w:rPr>
          <w:spacing w:val="-3"/>
          <w:u w:val="single"/>
        </w:rPr>
        <w:t xml:space="preserve"> 7 December </w:t>
      </w:r>
      <w:r>
        <w:rPr>
          <w:spacing w:val="-3"/>
          <w:u w:val="single"/>
        </w:rPr>
        <w:t>20</w:t>
      </w:r>
      <w:r w:rsidR="008F77EB">
        <w:rPr>
          <w:spacing w:val="-3"/>
          <w:u w:val="single"/>
        </w:rPr>
        <w:t>1</w:t>
      </w:r>
      <w:r w:rsidR="00AE06D1">
        <w:rPr>
          <w:spacing w:val="-3"/>
          <w:u w:val="single"/>
        </w:rPr>
        <w:t>8</w:t>
      </w:r>
    </w:p>
    <w:p w:rsidR="00F7751B" w:rsidRDefault="00F7751B"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F7751B" w:rsidRDefault="00F7751B"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r>
        <w:rPr>
          <w:spacing w:val="-3"/>
        </w:rPr>
        <w:t>B e f o r e :</w:t>
      </w:r>
    </w:p>
    <w:p w:rsidR="00F7751B" w:rsidRDefault="00F7751B"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rsidR="00F7751B" w:rsidRDefault="00F45E27" w:rsidP="00F4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r>
        <w:rPr>
          <w:b/>
          <w:spacing w:val="-3"/>
          <w:u w:val="single"/>
        </w:rPr>
        <w:t xml:space="preserve">MR JUSTICE </w:t>
      </w:r>
      <w:r w:rsidR="00F7751B">
        <w:rPr>
          <w:b/>
          <w:spacing w:val="-3"/>
          <w:u w:val="single"/>
        </w:rPr>
        <w:t xml:space="preserve">WAKSMAN </w:t>
      </w:r>
    </w:p>
    <w:p w:rsidR="00F7751B" w:rsidRDefault="00F7751B"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pacing w:val="-3"/>
        </w:rPr>
      </w:pPr>
    </w:p>
    <w:p w:rsidR="00F7751B" w:rsidRDefault="00F7751B"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pacing w:val="-3"/>
        </w:rPr>
      </w:pPr>
    </w:p>
    <w:tbl>
      <w:tblPr>
        <w:tblW w:w="0" w:type="auto"/>
        <w:jc w:val="center"/>
        <w:tblLayout w:type="fixed"/>
        <w:tblLook w:val="0000" w:firstRow="0" w:lastRow="0" w:firstColumn="0" w:lastColumn="0" w:noHBand="0" w:noVBand="0"/>
      </w:tblPr>
      <w:tblGrid>
        <w:gridCol w:w="2178"/>
        <w:gridCol w:w="5425"/>
        <w:gridCol w:w="2135"/>
      </w:tblGrid>
      <w:tr w:rsidR="00F7751B" w:rsidTr="00691245">
        <w:trPr>
          <w:jc w:val="center"/>
        </w:trPr>
        <w:tc>
          <w:tcPr>
            <w:tcW w:w="2178" w:type="dxa"/>
          </w:tcPr>
          <w:p w:rsidR="00F7751B" w:rsidRDefault="00F7751B" w:rsidP="0069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pacing w:val="-3"/>
              </w:rPr>
            </w:pPr>
          </w:p>
        </w:tc>
        <w:tc>
          <w:tcPr>
            <w:tcW w:w="5425" w:type="dxa"/>
          </w:tcPr>
          <w:p w:rsidR="00F7751B" w:rsidRPr="00B031A4" w:rsidRDefault="00B031A4" w:rsidP="006912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spacing w:val="-3"/>
              </w:rPr>
            </w:pPr>
            <w:r w:rsidRPr="00B031A4">
              <w:rPr>
                <w:b/>
                <w:bCs/>
                <w:sz w:val="22"/>
                <w:szCs w:val="22"/>
              </w:rPr>
              <w:t>MEARS LIMITED</w:t>
            </w:r>
          </w:p>
        </w:tc>
        <w:tc>
          <w:tcPr>
            <w:tcW w:w="2135" w:type="dxa"/>
          </w:tcPr>
          <w:p w:rsidR="00F7751B" w:rsidRDefault="00F7751B" w:rsidP="0069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pacing w:val="-3"/>
              </w:rPr>
            </w:pPr>
          </w:p>
          <w:p w:rsidR="00F7751B" w:rsidRDefault="00F7751B" w:rsidP="0069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b/>
                <w:spacing w:val="-3"/>
              </w:rPr>
            </w:pPr>
            <w:r>
              <w:rPr>
                <w:b/>
                <w:spacing w:val="-3"/>
              </w:rPr>
              <w:tab/>
            </w:r>
            <w:r>
              <w:rPr>
                <w:b/>
                <w:spacing w:val="-3"/>
                <w:u w:val="single"/>
              </w:rPr>
              <w:t>Claimant</w:t>
            </w:r>
          </w:p>
        </w:tc>
      </w:tr>
      <w:tr w:rsidR="00F7751B" w:rsidTr="00691245">
        <w:trPr>
          <w:jc w:val="center"/>
        </w:trPr>
        <w:tc>
          <w:tcPr>
            <w:tcW w:w="2178" w:type="dxa"/>
          </w:tcPr>
          <w:p w:rsidR="00F7751B" w:rsidRDefault="00F7751B" w:rsidP="0069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pacing w:val="-3"/>
              </w:rPr>
            </w:pPr>
          </w:p>
        </w:tc>
        <w:tc>
          <w:tcPr>
            <w:tcW w:w="5425" w:type="dxa"/>
          </w:tcPr>
          <w:p w:rsidR="00F7751B" w:rsidRDefault="00F7751B" w:rsidP="0069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spacing w:val="-3"/>
              </w:rPr>
            </w:pPr>
            <w:r>
              <w:rPr>
                <w:b/>
                <w:spacing w:val="-3"/>
              </w:rPr>
              <w:t>- and -</w:t>
            </w:r>
          </w:p>
          <w:p w:rsidR="00F7751B" w:rsidRDefault="00F7751B" w:rsidP="0069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spacing w:val="-3"/>
              </w:rPr>
            </w:pPr>
          </w:p>
        </w:tc>
        <w:tc>
          <w:tcPr>
            <w:tcW w:w="2135" w:type="dxa"/>
          </w:tcPr>
          <w:p w:rsidR="00F7751B" w:rsidRDefault="00F7751B" w:rsidP="0069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b/>
                <w:spacing w:val="-3"/>
              </w:rPr>
            </w:pPr>
          </w:p>
        </w:tc>
      </w:tr>
      <w:tr w:rsidR="00F7751B" w:rsidTr="00691245">
        <w:trPr>
          <w:jc w:val="center"/>
        </w:trPr>
        <w:tc>
          <w:tcPr>
            <w:tcW w:w="2178" w:type="dxa"/>
          </w:tcPr>
          <w:p w:rsidR="00F7751B" w:rsidRDefault="00F7751B" w:rsidP="0069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pacing w:val="-3"/>
              </w:rPr>
            </w:pPr>
          </w:p>
        </w:tc>
        <w:tc>
          <w:tcPr>
            <w:tcW w:w="5425" w:type="dxa"/>
          </w:tcPr>
          <w:p w:rsidR="00B031A4" w:rsidRPr="00B031A4" w:rsidRDefault="00B031A4" w:rsidP="00B031A4">
            <w:pPr>
              <w:autoSpaceDE w:val="0"/>
              <w:autoSpaceDN w:val="0"/>
              <w:adjustRightInd w:val="0"/>
              <w:jc w:val="center"/>
              <w:rPr>
                <w:b/>
                <w:bCs/>
                <w:sz w:val="22"/>
                <w:szCs w:val="22"/>
              </w:rPr>
            </w:pPr>
            <w:r w:rsidRPr="00B031A4">
              <w:rPr>
                <w:b/>
                <w:bCs/>
                <w:sz w:val="22"/>
                <w:szCs w:val="22"/>
              </w:rPr>
              <w:t>(1) COSTPLAN SERVICES (SOUTH EAST) LIMITED</w:t>
            </w:r>
          </w:p>
          <w:p w:rsidR="00B031A4" w:rsidRPr="00B031A4" w:rsidRDefault="00B031A4" w:rsidP="00B031A4">
            <w:pPr>
              <w:autoSpaceDE w:val="0"/>
              <w:autoSpaceDN w:val="0"/>
              <w:adjustRightInd w:val="0"/>
              <w:rPr>
                <w:b/>
                <w:bCs/>
                <w:sz w:val="22"/>
                <w:szCs w:val="22"/>
              </w:rPr>
            </w:pPr>
            <w:r w:rsidRPr="00B031A4">
              <w:rPr>
                <w:b/>
                <w:bCs/>
                <w:sz w:val="22"/>
                <w:szCs w:val="22"/>
              </w:rPr>
              <w:t>(2) PLYMOUTH (NOTTE STREET) LIMITED</w:t>
            </w:r>
          </w:p>
          <w:p w:rsidR="00F7751B" w:rsidRPr="00B031A4" w:rsidRDefault="00B031A4" w:rsidP="00B031A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spacing w:val="-3"/>
              </w:rPr>
            </w:pPr>
            <w:r w:rsidRPr="00B031A4">
              <w:rPr>
                <w:b/>
                <w:bCs/>
                <w:sz w:val="22"/>
                <w:szCs w:val="22"/>
              </w:rPr>
              <w:t>(3) J.R. PICKSTOCK LIMITED</w:t>
            </w:r>
          </w:p>
        </w:tc>
        <w:tc>
          <w:tcPr>
            <w:tcW w:w="2135" w:type="dxa"/>
          </w:tcPr>
          <w:p w:rsidR="00F7751B" w:rsidRDefault="00F7751B" w:rsidP="0069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b/>
                <w:spacing w:val="-3"/>
                <w:u w:val="single"/>
              </w:rPr>
            </w:pPr>
          </w:p>
          <w:p w:rsidR="00F7751B" w:rsidRDefault="00F7751B" w:rsidP="00691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b/>
                <w:spacing w:val="-3"/>
              </w:rPr>
            </w:pPr>
            <w:r>
              <w:rPr>
                <w:b/>
                <w:spacing w:val="-3"/>
                <w:u w:val="single"/>
              </w:rPr>
              <w:t>Defendant</w:t>
            </w:r>
            <w:r w:rsidR="00A51DC3">
              <w:rPr>
                <w:b/>
                <w:spacing w:val="-3"/>
                <w:u w:val="single"/>
              </w:rPr>
              <w:t>s</w:t>
            </w:r>
          </w:p>
        </w:tc>
      </w:tr>
    </w:tbl>
    <w:p w:rsidR="00F7751B" w:rsidRDefault="00F7751B"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spacing w:val="-3"/>
        </w:rPr>
      </w:pPr>
    </w:p>
    <w:p w:rsidR="00F7751B" w:rsidRDefault="00F7751B"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p>
    <w:p w:rsidR="00F7751B" w:rsidRDefault="00F7751B"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r>
        <w:rPr>
          <w:b/>
          <w:spacing w:val="-3"/>
        </w:rPr>
        <w:t xml:space="preserve"> </w:t>
      </w:r>
      <w:r w:rsidR="00B031A4" w:rsidRPr="00B031A4">
        <w:rPr>
          <w:spacing w:val="-3"/>
        </w:rPr>
        <w:t>Stephen Dennison QC and C</w:t>
      </w:r>
      <w:r w:rsidR="00B031A4">
        <w:rPr>
          <w:spacing w:val="-3"/>
        </w:rPr>
        <w:t>a</w:t>
      </w:r>
      <w:r w:rsidR="00B031A4" w:rsidRPr="00B031A4">
        <w:rPr>
          <w:spacing w:val="-3"/>
        </w:rPr>
        <w:t>mille Slow</w:t>
      </w:r>
      <w:r w:rsidR="00C37952">
        <w:rPr>
          <w:spacing w:val="-3"/>
        </w:rPr>
        <w:t xml:space="preserve"> </w:t>
      </w:r>
      <w:r>
        <w:rPr>
          <w:spacing w:val="-3"/>
        </w:rPr>
        <w:t xml:space="preserve">(instructed by </w:t>
      </w:r>
      <w:r w:rsidR="00A03733">
        <w:rPr>
          <w:spacing w:val="-3"/>
        </w:rPr>
        <w:t>Mishcon de R</w:t>
      </w:r>
      <w:r w:rsidR="00E53B66">
        <w:rPr>
          <w:spacing w:val="-3"/>
        </w:rPr>
        <w:t>e</w:t>
      </w:r>
      <w:r w:rsidR="00A03733">
        <w:rPr>
          <w:spacing w:val="-3"/>
        </w:rPr>
        <w:t xml:space="preserve">ya, </w:t>
      </w:r>
      <w:r>
        <w:rPr>
          <w:spacing w:val="-3"/>
        </w:rPr>
        <w:t>Solicitors) for the Claimant</w:t>
      </w:r>
    </w:p>
    <w:p w:rsidR="00B031A4" w:rsidRPr="00426B66" w:rsidRDefault="00B031A4" w:rsidP="00B03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r>
        <w:rPr>
          <w:spacing w:val="-3"/>
        </w:rPr>
        <w:t xml:space="preserve">Simon Hale (instructed by </w:t>
      </w:r>
      <w:r w:rsidR="00A03733">
        <w:rPr>
          <w:spacing w:val="-3"/>
        </w:rPr>
        <w:t xml:space="preserve">Kennedys Law LLP, </w:t>
      </w:r>
      <w:r>
        <w:rPr>
          <w:spacing w:val="-3"/>
        </w:rPr>
        <w:t>Solicitors) for the First Defendant</w:t>
      </w:r>
    </w:p>
    <w:p w:rsidR="00F7751B" w:rsidRPr="00426B66" w:rsidRDefault="00F7751B"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r>
        <w:rPr>
          <w:spacing w:val="-3"/>
        </w:rPr>
        <w:t xml:space="preserve"> </w:t>
      </w:r>
      <w:r w:rsidR="00B031A4">
        <w:rPr>
          <w:spacing w:val="-3"/>
        </w:rPr>
        <w:t xml:space="preserve">Dermot Woolgar </w:t>
      </w:r>
      <w:r>
        <w:rPr>
          <w:spacing w:val="-3"/>
        </w:rPr>
        <w:t>(instructed by</w:t>
      </w:r>
      <w:r w:rsidR="00A03733">
        <w:rPr>
          <w:spacing w:val="-3"/>
        </w:rPr>
        <w:t xml:space="preserve"> Silver Shemmings Ash, </w:t>
      </w:r>
      <w:r>
        <w:rPr>
          <w:spacing w:val="-3"/>
        </w:rPr>
        <w:t xml:space="preserve">Solicitors) for the </w:t>
      </w:r>
      <w:r w:rsidR="00B031A4">
        <w:rPr>
          <w:spacing w:val="-3"/>
        </w:rPr>
        <w:t xml:space="preserve">Second </w:t>
      </w:r>
      <w:r>
        <w:rPr>
          <w:spacing w:val="-3"/>
        </w:rPr>
        <w:t>Defendant</w:t>
      </w:r>
    </w:p>
    <w:p w:rsidR="00B031A4" w:rsidRPr="00426B66" w:rsidRDefault="00A03733" w:rsidP="00B03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spacing w:val="-3"/>
        </w:rPr>
      </w:pPr>
      <w:r>
        <w:rPr>
          <w:spacing w:val="-3"/>
        </w:rPr>
        <w:t xml:space="preserve">Claire Packman </w:t>
      </w:r>
      <w:r w:rsidR="00B031A4">
        <w:rPr>
          <w:spacing w:val="-3"/>
        </w:rPr>
        <w:t xml:space="preserve">(instructed by </w:t>
      </w:r>
      <w:r>
        <w:rPr>
          <w:spacing w:val="-3"/>
        </w:rPr>
        <w:t xml:space="preserve">Mills &amp; Reeve LLP, </w:t>
      </w:r>
      <w:r w:rsidR="00B031A4">
        <w:rPr>
          <w:spacing w:val="-3"/>
        </w:rPr>
        <w:t>Solicitors) for the Third Defendant</w:t>
      </w:r>
    </w:p>
    <w:p w:rsidR="00F7751B" w:rsidRDefault="00F7751B" w:rsidP="00F77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b/>
          <w:spacing w:val="-3"/>
        </w:rPr>
      </w:pPr>
    </w:p>
    <w:p w:rsidR="00F7751B" w:rsidRDefault="00817D8E" w:rsidP="00F7751B">
      <w:pPr>
        <w:pStyle w:val="Heading1"/>
        <w:jc w:val="center"/>
        <w:rPr>
          <w:sz w:val="36"/>
        </w:rPr>
      </w:pPr>
      <w:r>
        <w:rPr>
          <w:sz w:val="36"/>
        </w:rPr>
        <w:t xml:space="preserve">APPROVED </w:t>
      </w:r>
      <w:r w:rsidR="00F7751B">
        <w:rPr>
          <w:sz w:val="36"/>
        </w:rPr>
        <w:t>JUDGMENT</w:t>
      </w:r>
    </w:p>
    <w:p w:rsidR="00F7751B" w:rsidRDefault="00F7751B" w:rsidP="00F7751B">
      <w:pPr>
        <w:jc w:val="both"/>
        <w:rPr>
          <w:b/>
        </w:rPr>
      </w:pPr>
      <w:bookmarkStart w:id="1" w:name="Orderstart"/>
      <w:bookmarkEnd w:id="1"/>
    </w:p>
    <w:p w:rsidR="00F7751B" w:rsidRDefault="00F7751B" w:rsidP="00F7751B">
      <w:pPr>
        <w:spacing w:after="360" w:line="360" w:lineRule="auto"/>
        <w:jc w:val="center"/>
        <w:rPr>
          <w:b/>
        </w:rPr>
      </w:pPr>
      <w:r>
        <w:rPr>
          <w:b/>
        </w:rPr>
        <w:t xml:space="preserve">Hearing dates: </w:t>
      </w:r>
      <w:r w:rsidR="007A2112">
        <w:rPr>
          <w:b/>
        </w:rPr>
        <w:t>8, 12-14  and 19 November 2018</w:t>
      </w:r>
    </w:p>
    <w:p w:rsidR="009B6A26" w:rsidRDefault="00F7751B" w:rsidP="00F7751B">
      <w:pPr>
        <w:pStyle w:val="Heading1"/>
      </w:pPr>
      <w:r>
        <w:br w:type="page"/>
        <w:t>INTRODUCTION</w:t>
      </w:r>
    </w:p>
    <w:p w:rsidR="00B031A4" w:rsidRDefault="00E74B92" w:rsidP="00B031A4">
      <w:pPr>
        <w:pStyle w:val="TGLevel1"/>
      </w:pPr>
      <w:r>
        <w:t>This case concerns two</w:t>
      </w:r>
      <w:r w:rsidR="00B031A4">
        <w:t xml:space="preserve"> blocks of student residences, each 10 </w:t>
      </w:r>
      <w:r w:rsidR="00E53B66">
        <w:t xml:space="preserve">not less than </w:t>
      </w:r>
      <w:r w:rsidR="00B031A4">
        <w:t>stories high, built in Plymouth and known as Crescent Point (“the Property”). The accommodation consists either of self-contained studi</w:t>
      </w:r>
      <w:r w:rsidR="00E53B66">
        <w:t xml:space="preserve">o apartments or “clusters” of 4, </w:t>
      </w:r>
      <w:r w:rsidR="00B031A4">
        <w:t>5</w:t>
      </w:r>
      <w:r w:rsidR="00E53B66">
        <w:t xml:space="preserve"> or 6 </w:t>
      </w:r>
      <w:r w:rsidR="00B031A4">
        <w:t>flats, each with their own bathroom and WC but served by a common kitchen. The total number of students who can be housed is 348.</w:t>
      </w:r>
    </w:p>
    <w:p w:rsidR="00421E20" w:rsidRDefault="00B031A4" w:rsidP="00B031A4">
      <w:pPr>
        <w:pStyle w:val="TGLevel1"/>
      </w:pPr>
      <w:r>
        <w:t xml:space="preserve">The contractor who built the Property is the </w:t>
      </w:r>
      <w:r w:rsidR="007A2112">
        <w:t>Third D</w:t>
      </w:r>
      <w:r>
        <w:t>efendant</w:t>
      </w:r>
      <w:r w:rsidR="007A2112">
        <w:t>,</w:t>
      </w:r>
      <w:r>
        <w:t xml:space="preserve"> J R Pickstock Limited (“Pickstock”). The employer is the </w:t>
      </w:r>
      <w:r w:rsidR="007A2112">
        <w:t>Second D</w:t>
      </w:r>
      <w:r>
        <w:t xml:space="preserve">efendant, Plymouth (Notte Street) Ltd (“PNS”), which was originally an associated company of Pickstock but is now an investment vehicle for the Harouni group of companies which purchased it from Pickstock. The </w:t>
      </w:r>
      <w:r w:rsidR="007A2112">
        <w:t>First D</w:t>
      </w:r>
      <w:r>
        <w:t xml:space="preserve">efendant, Costplan Services (South East) Ltd (“Costplan”) </w:t>
      </w:r>
      <w:r w:rsidR="00421E20">
        <w:t>is the Employer</w:t>
      </w:r>
      <w:r w:rsidR="007A2112">
        <w:t>’</w:t>
      </w:r>
      <w:r w:rsidR="00421E20">
        <w:t>s (i</w:t>
      </w:r>
      <w:r w:rsidR="00A51DC3">
        <w:t>.</w:t>
      </w:r>
      <w:r w:rsidR="00421E20">
        <w:t>e</w:t>
      </w:r>
      <w:r w:rsidR="00A51DC3">
        <w:t>.</w:t>
      </w:r>
      <w:r w:rsidR="00421E20">
        <w:t xml:space="preserve"> P</w:t>
      </w:r>
      <w:r w:rsidR="007A2112">
        <w:t>NS’s</w:t>
      </w:r>
      <w:r w:rsidR="00421E20">
        <w:t>) Agent</w:t>
      </w:r>
      <w:r>
        <w:t xml:space="preserve"> </w:t>
      </w:r>
      <w:r w:rsidR="00421E20">
        <w:t>in respect of the works with responsibility, among other things, for certifying Practical Completion.</w:t>
      </w:r>
    </w:p>
    <w:p w:rsidR="00B031A4" w:rsidRDefault="00421E20" w:rsidP="00B031A4">
      <w:pPr>
        <w:pStyle w:val="TGLevel1"/>
      </w:pPr>
      <w:r>
        <w:t xml:space="preserve">The </w:t>
      </w:r>
      <w:r w:rsidR="00C90E75">
        <w:t>C</w:t>
      </w:r>
      <w:r>
        <w:t>laimant, Mears Ltd (“Mears”) had as its core business, property maintenance, but it is now involved in managing leased properties mainly for the public sector</w:t>
      </w:r>
      <w:r w:rsidR="007A2112">
        <w:t xml:space="preserve"> and </w:t>
      </w:r>
      <w:r>
        <w:t>the provision of managed student housing.</w:t>
      </w:r>
    </w:p>
    <w:p w:rsidR="007A2112" w:rsidRDefault="00421E20" w:rsidP="00B031A4">
      <w:pPr>
        <w:pStyle w:val="TGLevel1"/>
      </w:pPr>
      <w:r>
        <w:t>The claim before me is one for declaratory relief of various kinds</w:t>
      </w:r>
      <w:r w:rsidR="007A2112">
        <w:t xml:space="preserve">. </w:t>
      </w:r>
    </w:p>
    <w:p w:rsidR="00421E20" w:rsidRDefault="00421E20" w:rsidP="00B031A4">
      <w:pPr>
        <w:pStyle w:val="TGLevel1"/>
      </w:pPr>
      <w:r>
        <w:t>In May 2016 Mears agreed to take a 2</w:t>
      </w:r>
      <w:r w:rsidR="00E53B66">
        <w:t>1</w:t>
      </w:r>
      <w:r>
        <w:t xml:space="preserve"> yea</w:t>
      </w:r>
      <w:r w:rsidR="007A2112">
        <w:t>r lease of the Property from PN</w:t>
      </w:r>
      <w:r w:rsidR="00E53B66">
        <w:t>S, now it</w:t>
      </w:r>
      <w:r>
        <w:t>s owner, at an annual rent of £1.667</w:t>
      </w:r>
      <w:r w:rsidR="007A2112">
        <w:t xml:space="preserve">m. </w:t>
      </w:r>
      <w:r>
        <w:t>Completion of the lease was to take place within 5 working days after practical completion. However, if practical completion had not occurred by a long-stop date of 11 September 2018, then Mears could terminate its agreement for the lease and effectively walk away.</w:t>
      </w:r>
    </w:p>
    <w:p w:rsidR="00421E20" w:rsidRDefault="00421E20" w:rsidP="00B031A4">
      <w:pPr>
        <w:pStyle w:val="TGLevel1"/>
      </w:pPr>
      <w:r>
        <w:t>The building works were delayed and in particular the original estimated completion date of 11 August 2017 was missed. By June 2018 Mears was alleging a wide range of respects in which the work to build the Property was either not done, or was defective</w:t>
      </w:r>
      <w:r w:rsidR="007A2112">
        <w:t xml:space="preserve">ly </w:t>
      </w:r>
      <w:r>
        <w:t>done. In particular it alleged that (a) a plywood roof had been installed instead of the required sedum roof and (b) around 50 rooms had been built smaller than contractually permitted.</w:t>
      </w:r>
    </w:p>
    <w:p w:rsidR="00421E20" w:rsidRDefault="00421E20" w:rsidP="00B031A4">
      <w:pPr>
        <w:pStyle w:val="TGLevel1"/>
      </w:pPr>
      <w:r>
        <w:t>However, the view taken by Costplan was that there was in truth no impediment to practical completion and accordingly it proposed imminently so to certify. That led to an injunction application</w:t>
      </w:r>
      <w:r w:rsidR="007A2112">
        <w:t xml:space="preserve"> made by Mears to restrain Cost</w:t>
      </w:r>
      <w:r>
        <w:t xml:space="preserve">plan from certifying practical completion until certain aspects of the disputes between the parties had been decided by the </w:t>
      </w:r>
      <w:r w:rsidR="007A2112">
        <w:t>C</w:t>
      </w:r>
      <w:r>
        <w:t>ourt. That application came on before me on 22 August 2018. On that occasion, I granted an injunction to restrain certification of practical completion subject to various undertakings and provisos. I also ordered an expedited trial which at the time was estimated to take</w:t>
      </w:r>
      <w:r w:rsidR="007A2112">
        <w:t xml:space="preserve"> no more than 2 days. The only D</w:t>
      </w:r>
      <w:r>
        <w:t>efendant represented</w:t>
      </w:r>
      <w:r w:rsidR="00C37952">
        <w:t xml:space="preserve"> at</w:t>
      </w:r>
      <w:r>
        <w:t xml:space="preserve"> that hearing was PNS. Accordingly, Costplan and Pickstock were given an opportunity to apply to vary or discharge the injunction. On 29 August, Pickstock duly applied to set it aside. On 6 September, with all parties present, Mr Justice Stuart-Smith maintained the injunction but with some alterations.</w:t>
      </w:r>
    </w:p>
    <w:p w:rsidR="00421E20" w:rsidRDefault="00421E20" w:rsidP="00B031A4">
      <w:pPr>
        <w:pStyle w:val="TGLevel1"/>
      </w:pPr>
      <w:r>
        <w:t>By now, the parties had agreed to treat the long-stop date as being 18 September rather than 11 September. On 18 September, Costplan indicated that but for the injunction it would have issued a certificate of practical completion and sen</w:t>
      </w:r>
      <w:r w:rsidR="007A2112">
        <w:t xml:space="preserve">t </w:t>
      </w:r>
      <w:r w:rsidR="00C90E75">
        <w:t xml:space="preserve">it </w:t>
      </w:r>
      <w:r>
        <w:t>to the</w:t>
      </w:r>
      <w:r w:rsidR="00C90E75">
        <w:t xml:space="preserve"> parties in the form of a draft of</w:t>
      </w:r>
      <w:r>
        <w:t xml:space="preserve"> the certificate which it would have issued. Although the </w:t>
      </w:r>
      <w:r w:rsidR="007A2112">
        <w:t>l</w:t>
      </w:r>
      <w:r>
        <w:t>ong stop date has now passed, Mears has undertaken not to terminate the agreement for the lease until after my judgment in this case. Effectively, therefore, all the parties have been able to reserve their positions.</w:t>
      </w:r>
    </w:p>
    <w:p w:rsidR="00241BB5" w:rsidRDefault="00421E20" w:rsidP="00B031A4">
      <w:pPr>
        <w:pStyle w:val="TGLevel1"/>
      </w:pPr>
      <w:r>
        <w:t>Subsequently, Pickstock replaced the plywood roof with the sedum roof</w:t>
      </w:r>
      <w:r w:rsidR="00241BB5">
        <w:t xml:space="preserve"> so this is no longer an issue between the parties. Nor are Mears</w:t>
      </w:r>
      <w:r w:rsidR="007A2112">
        <w:t>’</w:t>
      </w:r>
      <w:r w:rsidR="00241BB5">
        <w:t xml:space="preserve"> various other complaints </w:t>
      </w:r>
      <w:r w:rsidR="00C90E75">
        <w:t xml:space="preserve">relevant at this trial- only </w:t>
      </w:r>
      <w:r w:rsidR="00241BB5">
        <w:t>th</w:t>
      </w:r>
      <w:r w:rsidR="007A2112">
        <w:t xml:space="preserve">ose </w:t>
      </w:r>
      <w:r w:rsidR="00241BB5">
        <w:t>dealing with room size.</w:t>
      </w:r>
    </w:p>
    <w:p w:rsidR="00421E20" w:rsidRDefault="00241BB5" w:rsidP="00C90E75">
      <w:pPr>
        <w:pStyle w:val="TGLevel1"/>
        <w:spacing w:before="0"/>
      </w:pPr>
      <w:r>
        <w:t xml:space="preserve">At this stage, it is necessary to refer only to one of the contractual provisions in the tripartite agreement for the lease made between Pickstock, </w:t>
      </w:r>
      <w:r w:rsidR="007A2112">
        <w:t>PNS</w:t>
      </w:r>
      <w:r>
        <w:t xml:space="preserve"> and Mears (“the AFL”). This is </w:t>
      </w:r>
      <w:r w:rsidR="007A2112">
        <w:t>C</w:t>
      </w:r>
      <w:r>
        <w:t>lause 6.2</w:t>
      </w:r>
      <w:r w:rsidR="007A2112">
        <w:t>.1</w:t>
      </w:r>
      <w:r>
        <w:t xml:space="preserve"> thereof which states as follows:</w:t>
      </w:r>
    </w:p>
    <w:p w:rsidR="007A2112" w:rsidRDefault="007A2112" w:rsidP="00C90E75">
      <w:pPr>
        <w:pStyle w:val="TGLevel1"/>
        <w:numPr>
          <w:ilvl w:val="0"/>
          <w:numId w:val="0"/>
        </w:numPr>
        <w:spacing w:before="0" w:after="0"/>
        <w:ind w:left="1440"/>
        <w:rPr>
          <w:sz w:val="20"/>
          <w:szCs w:val="20"/>
        </w:rPr>
      </w:pPr>
      <w:r>
        <w:rPr>
          <w:sz w:val="20"/>
          <w:szCs w:val="20"/>
        </w:rPr>
        <w:t>“6.2 The Landlord shall not make any variations to the Landlord</w:t>
      </w:r>
      <w:r w:rsidR="00C37952">
        <w:rPr>
          <w:sz w:val="20"/>
          <w:szCs w:val="20"/>
        </w:rPr>
        <w:t>’</w:t>
      </w:r>
      <w:r>
        <w:rPr>
          <w:sz w:val="20"/>
          <w:szCs w:val="20"/>
        </w:rPr>
        <w:t>s Works or Building Documents which</w:t>
      </w:r>
    </w:p>
    <w:p w:rsidR="007A2112" w:rsidRPr="007A2112" w:rsidRDefault="007A2112" w:rsidP="007A2112">
      <w:pPr>
        <w:pStyle w:val="TGLevel1"/>
        <w:numPr>
          <w:ilvl w:val="0"/>
          <w:numId w:val="0"/>
        </w:numPr>
        <w:ind w:left="1440"/>
        <w:rPr>
          <w:sz w:val="20"/>
          <w:szCs w:val="20"/>
        </w:rPr>
      </w:pPr>
      <w:r>
        <w:rPr>
          <w:sz w:val="20"/>
          <w:szCs w:val="20"/>
        </w:rPr>
        <w:t>6.2.1 materially affect the size (and a reduction of more than 3% of the size of any distinct area shown upon the Building Documents shall be deemed material), layout or appearance of the Property; or…”</w:t>
      </w:r>
    </w:p>
    <w:p w:rsidR="00241BB5" w:rsidRDefault="007A2112" w:rsidP="001F0506">
      <w:pPr>
        <w:pStyle w:val="TGLevel1"/>
      </w:pPr>
      <w:r>
        <w:t>T</w:t>
      </w:r>
      <w:r w:rsidR="00241BB5">
        <w:t>he declaratory relief now sought by Mears is as follows:</w:t>
      </w:r>
    </w:p>
    <w:p w:rsidR="00C37952" w:rsidRDefault="00C37952" w:rsidP="00C37952">
      <w:pPr>
        <w:pStyle w:val="TGLevel2"/>
        <w:rPr>
          <w:rStyle w:val="FontStyle12"/>
          <w:rFonts w:ascii="Times New Roman" w:hAnsi="Times New Roman" w:cs="Times New Roman"/>
          <w:sz w:val="24"/>
          <w:szCs w:val="24"/>
        </w:rPr>
      </w:pPr>
      <w:r w:rsidRPr="001F0506">
        <w:rPr>
          <w:rStyle w:val="FontStyle12"/>
          <w:rFonts w:ascii="Times New Roman" w:hAnsi="Times New Roman" w:cs="Times New Roman"/>
          <w:sz w:val="24"/>
          <w:szCs w:val="24"/>
        </w:rPr>
        <w:t xml:space="preserve">That, on a true construction of the AFL, or by virtue of a term implied therein, the Employer's Agent cannot validly certify Practical Completion whilst there are </w:t>
      </w:r>
      <w:r>
        <w:rPr>
          <w:rStyle w:val="FontStyle12"/>
          <w:rFonts w:ascii="Times New Roman" w:hAnsi="Times New Roman" w:cs="Times New Roman"/>
          <w:sz w:val="24"/>
          <w:szCs w:val="24"/>
        </w:rPr>
        <w:t xml:space="preserve">known </w:t>
      </w:r>
      <w:r w:rsidRPr="001F0506">
        <w:rPr>
          <w:rStyle w:val="FontStyle12"/>
          <w:rFonts w:ascii="Times New Roman" w:hAnsi="Times New Roman" w:cs="Times New Roman"/>
          <w:sz w:val="24"/>
          <w:szCs w:val="24"/>
        </w:rPr>
        <w:t xml:space="preserve">material </w:t>
      </w:r>
      <w:r>
        <w:rPr>
          <w:rStyle w:val="FontStyle12"/>
          <w:rFonts w:ascii="Times New Roman" w:hAnsi="Times New Roman" w:cs="Times New Roman"/>
          <w:sz w:val="24"/>
          <w:szCs w:val="24"/>
        </w:rPr>
        <w:t xml:space="preserve">or </w:t>
      </w:r>
      <w:r w:rsidRPr="001F0506">
        <w:rPr>
          <w:rStyle w:val="FontStyle12"/>
          <w:rFonts w:ascii="Times New Roman" w:hAnsi="Times New Roman" w:cs="Times New Roman"/>
          <w:sz w:val="24"/>
          <w:szCs w:val="24"/>
        </w:rPr>
        <w:t xml:space="preserve">substantial </w:t>
      </w:r>
      <w:r>
        <w:rPr>
          <w:rStyle w:val="FontStyle12"/>
          <w:rFonts w:ascii="Times New Roman" w:hAnsi="Times New Roman" w:cs="Times New Roman"/>
          <w:sz w:val="24"/>
          <w:szCs w:val="24"/>
        </w:rPr>
        <w:t>defects (“Declaration 1”)</w:t>
      </w:r>
    </w:p>
    <w:p w:rsidR="001F0506" w:rsidRDefault="001F0506" w:rsidP="001F0506">
      <w:pPr>
        <w:pStyle w:val="TGLevel2"/>
        <w:rPr>
          <w:rStyle w:val="FontStyle12"/>
          <w:rFonts w:ascii="Times New Roman" w:hAnsi="Times New Roman" w:cs="Times New Roman"/>
          <w:sz w:val="24"/>
          <w:szCs w:val="24"/>
        </w:rPr>
      </w:pPr>
      <w:r w:rsidRPr="001F0506">
        <w:rPr>
          <w:rStyle w:val="FontStyle12"/>
          <w:rFonts w:ascii="Times New Roman" w:hAnsi="Times New Roman" w:cs="Times New Roman"/>
          <w:sz w:val="24"/>
          <w:szCs w:val="24"/>
        </w:rPr>
        <w:t xml:space="preserve">That, on a true construction of the AFL, or by virtue of a term implied therein, the Employer's Agent cannot validly certify Practical Completion whilst there are material and substantial subsisting breaches of the AFL relating </w:t>
      </w:r>
      <w:r>
        <w:rPr>
          <w:rStyle w:val="FontStyle12"/>
          <w:rFonts w:ascii="Times New Roman" w:hAnsi="Times New Roman" w:cs="Times New Roman"/>
          <w:sz w:val="24"/>
          <w:szCs w:val="24"/>
        </w:rPr>
        <w:t>to the performance of the Works (“Declaration 2”)</w:t>
      </w:r>
    </w:p>
    <w:p w:rsidR="001F0506" w:rsidRDefault="001F0506" w:rsidP="001F0506">
      <w:pPr>
        <w:pStyle w:val="TGLevel2"/>
        <w:rPr>
          <w:rStyle w:val="FontStyle12"/>
          <w:rFonts w:ascii="Times New Roman" w:hAnsi="Times New Roman" w:cs="Times New Roman"/>
          <w:sz w:val="24"/>
          <w:szCs w:val="24"/>
        </w:rPr>
      </w:pPr>
      <w:r w:rsidRPr="001F0506">
        <w:rPr>
          <w:rStyle w:val="FontStyle12"/>
          <w:rFonts w:ascii="Times New Roman" w:hAnsi="Times New Roman" w:cs="Times New Roman"/>
          <w:sz w:val="24"/>
          <w:szCs w:val="24"/>
        </w:rPr>
        <w:t>Further or alternatively, the Employer's Agent, properly exercising his discretion under the AFL and its duties under the Costplan Warranty, could not validly certify Practical Completion whilst there are material and subs</w:t>
      </w:r>
      <w:r>
        <w:rPr>
          <w:rStyle w:val="FontStyle12"/>
          <w:rFonts w:ascii="Times New Roman" w:hAnsi="Times New Roman" w:cs="Times New Roman"/>
          <w:sz w:val="24"/>
          <w:szCs w:val="24"/>
        </w:rPr>
        <w:t>tantial breaches of the AFL and</w:t>
      </w:r>
      <w:r w:rsidRPr="001F0506">
        <w:rPr>
          <w:rStyle w:val="FontStyle12"/>
          <w:rFonts w:ascii="Times New Roman" w:hAnsi="Times New Roman" w:cs="Times New Roman"/>
          <w:sz w:val="24"/>
          <w:szCs w:val="24"/>
        </w:rPr>
        <w:t>/or material and s</w:t>
      </w:r>
      <w:r>
        <w:rPr>
          <w:rStyle w:val="FontStyle12"/>
          <w:rFonts w:ascii="Times New Roman" w:hAnsi="Times New Roman" w:cs="Times New Roman"/>
          <w:sz w:val="24"/>
          <w:szCs w:val="24"/>
        </w:rPr>
        <w:t>ubstantial defects in the works (“ Declaration 3”)</w:t>
      </w:r>
    </w:p>
    <w:p w:rsidR="001F0506" w:rsidRDefault="001F0506" w:rsidP="001F0506">
      <w:pPr>
        <w:pStyle w:val="TGLevel2"/>
        <w:rPr>
          <w:rStyle w:val="FontStyle12"/>
          <w:rFonts w:ascii="Times New Roman" w:hAnsi="Times New Roman" w:cs="Times New Roman"/>
          <w:sz w:val="24"/>
          <w:szCs w:val="24"/>
        </w:rPr>
      </w:pPr>
      <w:r w:rsidRPr="001F0506">
        <w:rPr>
          <w:rStyle w:val="FontStyle12"/>
          <w:rFonts w:ascii="Times New Roman" w:hAnsi="Times New Roman" w:cs="Times New Roman"/>
          <w:sz w:val="24"/>
          <w:szCs w:val="24"/>
        </w:rPr>
        <w:t xml:space="preserve">That, on a true construction of the AFL, any failure to construct one or more of the rooms of the Property such that they are not more than 3% smaller than the sizes specified in the Jefferson Sheard drawings contained in the Building Documents (unless amended by one of the Elements drawings contained in the Building Documents) or (contrary to Mears's primary case) such alternative room sizes otherwise agreed to by Mears is a material and substantial breach of </w:t>
      </w:r>
      <w:r w:rsidR="00A152D1">
        <w:rPr>
          <w:rStyle w:val="FontStyle12"/>
          <w:rFonts w:ascii="Times New Roman" w:hAnsi="Times New Roman" w:cs="Times New Roman"/>
          <w:sz w:val="24"/>
          <w:szCs w:val="24"/>
        </w:rPr>
        <w:t>Clause</w:t>
      </w:r>
      <w:r w:rsidRPr="001F0506">
        <w:rPr>
          <w:rStyle w:val="FontStyle12"/>
          <w:rFonts w:ascii="Times New Roman" w:hAnsi="Times New Roman" w:cs="Times New Roman"/>
          <w:sz w:val="24"/>
          <w:szCs w:val="24"/>
        </w:rPr>
        <w:t xml:space="preserve"> 6.2 of the AFL [and</w:t>
      </w:r>
      <w:r>
        <w:rPr>
          <w:rStyle w:val="FontStyle12"/>
          <w:rFonts w:ascii="Times New Roman" w:hAnsi="Times New Roman" w:cs="Times New Roman"/>
          <w:sz w:val="24"/>
          <w:szCs w:val="24"/>
        </w:rPr>
        <w:t>/</w:t>
      </w:r>
      <w:r w:rsidRPr="001F0506">
        <w:rPr>
          <w:rStyle w:val="FontStyle12"/>
          <w:rFonts w:ascii="Times New Roman" w:hAnsi="Times New Roman" w:cs="Times New Roman"/>
          <w:sz w:val="24"/>
          <w:szCs w:val="24"/>
        </w:rPr>
        <w:t xml:space="preserve">or] constitutes a material and </w:t>
      </w:r>
      <w:r>
        <w:rPr>
          <w:rStyle w:val="FontStyle12"/>
          <w:rFonts w:ascii="Times New Roman" w:hAnsi="Times New Roman" w:cs="Times New Roman"/>
          <w:sz w:val="24"/>
          <w:szCs w:val="24"/>
        </w:rPr>
        <w:t>substantial defect in the works (“Declaration 4”);</w:t>
      </w:r>
    </w:p>
    <w:p w:rsidR="001F0506" w:rsidRPr="001F0506" w:rsidRDefault="001F0506" w:rsidP="001F0506">
      <w:pPr>
        <w:pStyle w:val="TGLevel2"/>
        <w:rPr>
          <w:rStyle w:val="FontStyle12"/>
          <w:rFonts w:ascii="Times New Roman" w:hAnsi="Times New Roman" w:cs="Times New Roman"/>
          <w:sz w:val="24"/>
          <w:szCs w:val="24"/>
        </w:rPr>
      </w:pPr>
      <w:r w:rsidRPr="001F0506">
        <w:rPr>
          <w:rStyle w:val="FontStyle12"/>
          <w:rFonts w:ascii="Times New Roman" w:hAnsi="Times New Roman" w:cs="Times New Roman"/>
          <w:sz w:val="24"/>
          <w:szCs w:val="24"/>
        </w:rPr>
        <w:t>That one or more of the rooms in the Property has been constructed such that it is / they are more than 3% smaller than the size(s) specified in the AFL or (contrary to Mears's primary case) such alternative room sizes otherwise agreed to by Mears</w:t>
      </w:r>
      <w:r>
        <w:rPr>
          <w:rStyle w:val="FontStyle12"/>
          <w:rFonts w:ascii="Times New Roman" w:hAnsi="Times New Roman" w:cs="Times New Roman"/>
          <w:sz w:val="24"/>
          <w:szCs w:val="24"/>
        </w:rPr>
        <w:t xml:space="preserve"> (“Declaration 5)”</w:t>
      </w:r>
      <w:r w:rsidRPr="001F0506">
        <w:rPr>
          <w:rStyle w:val="FontStyle12"/>
          <w:rFonts w:ascii="Times New Roman" w:hAnsi="Times New Roman" w:cs="Times New Roman"/>
          <w:sz w:val="24"/>
          <w:szCs w:val="24"/>
        </w:rPr>
        <w:t>.</w:t>
      </w:r>
    </w:p>
    <w:p w:rsidR="001F0506" w:rsidRPr="001F0506" w:rsidRDefault="001F0506">
      <w:r w:rsidRPr="001F0506">
        <w:br w:type="page"/>
      </w:r>
    </w:p>
    <w:p w:rsidR="00241BB5" w:rsidRDefault="001F0506" w:rsidP="00B031A4">
      <w:pPr>
        <w:pStyle w:val="TGLevel1"/>
      </w:pPr>
      <w:r>
        <w:t>B</w:t>
      </w:r>
      <w:r w:rsidR="00241BB5">
        <w:t xml:space="preserve">efore me, Costplan adopted an essentially neutral position, but Pickstock and </w:t>
      </w:r>
      <w:r>
        <w:t>PNS</w:t>
      </w:r>
      <w:r w:rsidR="00241BB5">
        <w:t xml:space="preserve"> resist the claim for declaratory relief on the following grounds</w:t>
      </w:r>
      <w:r w:rsidR="00C90E75">
        <w:t xml:space="preserve"> in summary</w:t>
      </w:r>
      <w:r w:rsidR="00241BB5">
        <w:t>:</w:t>
      </w:r>
    </w:p>
    <w:p w:rsidR="00241BB5" w:rsidRDefault="001F0506" w:rsidP="00241BB5">
      <w:pPr>
        <w:pStyle w:val="TGLevel2"/>
      </w:pPr>
      <w:r>
        <w:t>O</w:t>
      </w:r>
      <w:r w:rsidR="00241BB5">
        <w:t xml:space="preserve">n the facts, and subject to the following points, all but one of the rooms complained of by Mears were reduced in size by more than 3% if one compared them with the </w:t>
      </w:r>
      <w:r w:rsidR="00EB0297">
        <w:t>Planning Drawings</w:t>
      </w:r>
      <w:r w:rsidR="00241BB5">
        <w:t xml:space="preserve"> which formed</w:t>
      </w:r>
      <w:r w:rsidR="00A51DC3">
        <w:t xml:space="preserve"> part of Annex A to the AFL (“The</w:t>
      </w:r>
      <w:r w:rsidR="00241BB5">
        <w:t xml:space="preserve"> Planning Drawings”);</w:t>
      </w:r>
    </w:p>
    <w:p w:rsidR="00241BB5" w:rsidRDefault="00241BB5" w:rsidP="00241BB5">
      <w:pPr>
        <w:pStyle w:val="TGLevel2"/>
      </w:pPr>
      <w:r>
        <w:t>However,</w:t>
      </w:r>
    </w:p>
    <w:p w:rsidR="00241BB5" w:rsidRDefault="00241BB5" w:rsidP="00241BB5">
      <w:pPr>
        <w:pStyle w:val="TGLevel3"/>
      </w:pPr>
      <w:r>
        <w:t xml:space="preserve">the reference to “distinct area” in </w:t>
      </w:r>
      <w:r w:rsidR="00A152D1">
        <w:t>Clause</w:t>
      </w:r>
      <w:r>
        <w:t xml:space="preserve"> 6.2.1 does not mean individual rooms;</w:t>
      </w:r>
    </w:p>
    <w:p w:rsidR="00241BB5" w:rsidRDefault="00241BB5" w:rsidP="00241BB5">
      <w:pPr>
        <w:pStyle w:val="TGLevel3"/>
      </w:pPr>
      <w:r>
        <w:t xml:space="preserve">even if it did, on the proper construction of that </w:t>
      </w:r>
      <w:r w:rsidR="00A152D1">
        <w:t>Clause</w:t>
      </w:r>
      <w:r>
        <w:t xml:space="preserve"> or by reason of an implied term, the obligation not to depart from the 3% margin should be read as applying to the plans and drawings current as at the time of entry into the AFL </w:t>
      </w:r>
      <w:r w:rsidR="004655E0">
        <w:t xml:space="preserve">(“Current Drawings”) </w:t>
      </w:r>
      <w:r>
        <w:t>rather than the older Planning Drawings; if so</w:t>
      </w:r>
      <w:r w:rsidR="009626FC">
        <w:t>,</w:t>
      </w:r>
      <w:r>
        <w:t xml:space="preserve"> there would be no breach because the room sizes shown in the former were the same or substantially the same as the rooms as built; alternatively</w:t>
      </w:r>
    </w:p>
    <w:p w:rsidR="00241BB5" w:rsidRDefault="00241BB5" w:rsidP="00241BB5">
      <w:pPr>
        <w:pStyle w:val="TGLevel3"/>
      </w:pPr>
      <w:r>
        <w:t xml:space="preserve">Mears is </w:t>
      </w:r>
      <w:r w:rsidR="00DD5C5C">
        <w:t>e</w:t>
      </w:r>
      <w:r>
        <w:t>stopped by representation and/or convention from asserting that the rooms were too small, in breach of contract;</w:t>
      </w:r>
    </w:p>
    <w:p w:rsidR="00241BB5" w:rsidRDefault="00241BB5" w:rsidP="00241BB5">
      <w:pPr>
        <w:pStyle w:val="TGLevel2"/>
      </w:pPr>
      <w:r>
        <w:t>on any view, the proposition which forms the basis for Declaration</w:t>
      </w:r>
      <w:r w:rsidR="001F0506">
        <w:t xml:space="preserve"> 4</w:t>
      </w:r>
      <w:r>
        <w:t>, which is itself a matter of construction, is not correct.</w:t>
      </w:r>
    </w:p>
    <w:p w:rsidR="00241BB5" w:rsidRDefault="00241BB5" w:rsidP="00241BB5">
      <w:pPr>
        <w:pStyle w:val="TGLevel1"/>
      </w:pPr>
      <w:r>
        <w:t xml:space="preserve">A further claim made by Pickstock and </w:t>
      </w:r>
      <w:r w:rsidR="007A2112">
        <w:t>PNS</w:t>
      </w:r>
      <w:r>
        <w:t xml:space="preserve"> for rectification of the AFL by reason of common mistake, was withdrawn at the end of the trial.</w:t>
      </w:r>
    </w:p>
    <w:p w:rsidR="00241BB5" w:rsidRDefault="00241BB5" w:rsidP="00241BB5">
      <w:pPr>
        <w:pStyle w:val="Heading1"/>
      </w:pPr>
      <w:r>
        <w:t xml:space="preserve">The evidence </w:t>
      </w:r>
    </w:p>
    <w:p w:rsidR="00E0598F" w:rsidRDefault="001F0506" w:rsidP="00241BB5">
      <w:pPr>
        <w:pStyle w:val="TGLevel1"/>
      </w:pPr>
      <w:r>
        <w:t>F</w:t>
      </w:r>
      <w:r w:rsidR="00241BB5">
        <w:t>or Mears, I heard from John Taylor, Mears</w:t>
      </w:r>
      <w:r w:rsidR="00E53B66">
        <w:t>’</w:t>
      </w:r>
      <w:r w:rsidR="00241BB5">
        <w:t xml:space="preserve"> Chief Operating Officer, Wayne Collins, a surveyor who assisted John Rowan &amp; Partners (“JRP”) who were appointed by Mears</w:t>
      </w:r>
      <w:r w:rsidR="00C90E75">
        <w:t xml:space="preserve"> </w:t>
      </w:r>
      <w:r w:rsidR="00E0598F">
        <w:t>to monitor and inspect the building works, Paul O’Connor, a surveyor and p</w:t>
      </w:r>
      <w:r w:rsidR="00815420">
        <w:t xml:space="preserve">artner </w:t>
      </w:r>
      <w:r w:rsidR="00A51DC3">
        <w:t xml:space="preserve">at </w:t>
      </w:r>
      <w:r w:rsidR="00815420">
        <w:t xml:space="preserve">JRP and Robert Senior. He is </w:t>
      </w:r>
      <w:r w:rsidR="00E0598F">
        <w:t xml:space="preserve">a solicitor and senior associate at Acuity Legal Ltd, the firm which acted for Mears on the negotiation and execution of the various contracts. In addition, there is a witness statement from Alan White, a director of Kent Griffith Design Ltd (“KGD”) which carried out a number of measured surveys at the property for </w:t>
      </w:r>
      <w:r>
        <w:t>Mr</w:t>
      </w:r>
      <w:r w:rsidR="00E0598F">
        <w:t xml:space="preserve"> </w:t>
      </w:r>
      <w:r>
        <w:t>Collins</w:t>
      </w:r>
      <w:r w:rsidR="00E0598F">
        <w:t xml:space="preserve">. </w:t>
      </w:r>
      <w:r>
        <w:t>Mr</w:t>
      </w:r>
      <w:r w:rsidR="00815420">
        <w:t xml:space="preserve"> W</w:t>
      </w:r>
      <w:r w:rsidR="00E0598F">
        <w:t>hite was not required for cross examination and accordingly his statement can be taken as read.</w:t>
      </w:r>
    </w:p>
    <w:p w:rsidR="00241BB5" w:rsidRDefault="00815420" w:rsidP="00241BB5">
      <w:pPr>
        <w:pStyle w:val="TGLevel1"/>
      </w:pPr>
      <w:r>
        <w:t>F</w:t>
      </w:r>
      <w:r w:rsidR="00E0598F">
        <w:t xml:space="preserve">or </w:t>
      </w:r>
      <w:r w:rsidR="001F0506">
        <w:t>Pickstock</w:t>
      </w:r>
      <w:r>
        <w:t xml:space="preserve">, I </w:t>
      </w:r>
      <w:r w:rsidR="00E0598F">
        <w:t xml:space="preserve">heard from </w:t>
      </w:r>
      <w:r w:rsidR="001F0506">
        <w:t>Kate</w:t>
      </w:r>
      <w:r w:rsidR="00E0598F">
        <w:t xml:space="preserve"> </w:t>
      </w:r>
      <w:r w:rsidR="001F0506">
        <w:t>Pickstock</w:t>
      </w:r>
      <w:r w:rsidR="00E0598F">
        <w:t xml:space="preserve">, employed by </w:t>
      </w:r>
      <w:r w:rsidR="001F0506">
        <w:t>Pickstock</w:t>
      </w:r>
      <w:r w:rsidR="00E0598F">
        <w:t xml:space="preserve"> as a development surveyor (though not a qualified surveyor as such) and who was involved with the property since </w:t>
      </w:r>
      <w:r w:rsidR="001F0506">
        <w:t>November</w:t>
      </w:r>
      <w:r w:rsidR="00E0598F">
        <w:t xml:space="preserve"> 2013. I also heard from Nick Davies, an Operations Director at Pickstock. There were also adduced witness statements from Michael Hall of Jefferson Sheard Ltd (“JS”) the architects employed by </w:t>
      </w:r>
      <w:r w:rsidR="001F0506">
        <w:t>Pickstock</w:t>
      </w:r>
      <w:r w:rsidR="00E0598F">
        <w:t xml:space="preserve"> in relation to this project along with Bryce Rob</w:t>
      </w:r>
      <w:r w:rsidR="00A51DC3">
        <w:t>erts</w:t>
      </w:r>
      <w:r w:rsidR="00E0598F">
        <w:t xml:space="preserve">, </w:t>
      </w:r>
      <w:r w:rsidR="001F0506">
        <w:t>Pickstock’s</w:t>
      </w:r>
      <w:r w:rsidR="00E0598F">
        <w:t xml:space="preserve"> IT Manager and Ilario Revello, an interior designer employed by Pickstock. No other party wished them to attend for cross examination and so their statements can be taken as read, too. The same is true of the witness statement of Philip Saunders, the Harouni Group’s in-house solicitor since December 2013 and a director of </w:t>
      </w:r>
      <w:r w:rsidR="001F0506">
        <w:t>PNS</w:t>
      </w:r>
      <w:r w:rsidR="00E0598F">
        <w:t>. He was the only witness for the latter. For its part, Costplan did not adduce any evidence.</w:t>
      </w:r>
    </w:p>
    <w:p w:rsidR="004655E0" w:rsidRDefault="004655E0" w:rsidP="00241BB5">
      <w:pPr>
        <w:pStyle w:val="TGLevel1"/>
      </w:pPr>
      <w:r>
        <w:t>In the end, there was not very much, if anything, by way of disputes of primary fact, which I need to resolve and so issues of credibility do not really arise. But in general terms, I should say that I thought all of the witnesses were straightforward and seeking to assist the Court.</w:t>
      </w:r>
    </w:p>
    <w:p w:rsidR="00E0598F" w:rsidRDefault="00431B35" w:rsidP="00431B35">
      <w:pPr>
        <w:pStyle w:val="Heading1"/>
      </w:pPr>
      <w:r>
        <w:t>The relevant agreements</w:t>
      </w:r>
      <w:r w:rsidR="00E0598F">
        <w:t xml:space="preserve"> </w:t>
      </w:r>
    </w:p>
    <w:p w:rsidR="00431B35" w:rsidRDefault="00815420" w:rsidP="00C90E75">
      <w:pPr>
        <w:pStyle w:val="TGLevel1"/>
        <w:spacing w:after="0"/>
      </w:pPr>
      <w:r>
        <w:t>T</w:t>
      </w:r>
      <w:r w:rsidR="00431B35">
        <w:t>hese are all in writing and are as follows:</w:t>
      </w:r>
    </w:p>
    <w:p w:rsidR="00431B35" w:rsidRDefault="00431B35" w:rsidP="00C90E75">
      <w:pPr>
        <w:pStyle w:val="TGLevel2"/>
        <w:spacing w:before="120" w:after="0"/>
      </w:pPr>
      <w:r>
        <w:t>the AFL dated 20 May 2016;</w:t>
      </w:r>
    </w:p>
    <w:p w:rsidR="00431B35" w:rsidRDefault="00A51DC3" w:rsidP="00C90E75">
      <w:pPr>
        <w:pStyle w:val="TGLevel2"/>
        <w:spacing w:before="120" w:after="0"/>
      </w:pPr>
      <w:r>
        <w:t>a</w:t>
      </w:r>
      <w:r w:rsidR="00431B35">
        <w:t xml:space="preserve"> JCT Design and Build Contract, 2011 edition, made between Pickstock and </w:t>
      </w:r>
      <w:r w:rsidR="001F0506">
        <w:t>PNS</w:t>
      </w:r>
      <w:r w:rsidR="00431B35">
        <w:t xml:space="preserve"> dated 27 May 2016</w:t>
      </w:r>
      <w:r w:rsidR="00815420">
        <w:t xml:space="preserve"> (“the Building Contract”)</w:t>
      </w:r>
      <w:r w:rsidR="00431B35">
        <w:t>;</w:t>
      </w:r>
    </w:p>
    <w:p w:rsidR="00E015FC" w:rsidRDefault="00E015FC" w:rsidP="00C90E75">
      <w:pPr>
        <w:pStyle w:val="TGLevel2"/>
        <w:spacing w:before="120" w:after="0"/>
      </w:pPr>
      <w:r>
        <w:t>a collateral warranty issued by Pickstock in favour of Mears dated the 26 July 2016 (“the Pickstock Warranty”);</w:t>
      </w:r>
    </w:p>
    <w:p w:rsidR="00E015FC" w:rsidRDefault="00E015FC" w:rsidP="00C90E75">
      <w:pPr>
        <w:pStyle w:val="TGLevel2"/>
        <w:spacing w:before="120" w:after="0"/>
      </w:pPr>
      <w:r>
        <w:t>an appoi</w:t>
      </w:r>
      <w:r w:rsidR="009626FC">
        <w:t xml:space="preserve">ntment agreement made between PNS </w:t>
      </w:r>
      <w:r>
        <w:t>and Costplan dated 25 November 2016 (“the Costplan Appointment”), and</w:t>
      </w:r>
    </w:p>
    <w:p w:rsidR="00E0598F" w:rsidRDefault="00E015FC" w:rsidP="00C90E75">
      <w:pPr>
        <w:pStyle w:val="TGLevel2"/>
        <w:spacing w:before="120" w:after="0"/>
      </w:pPr>
      <w:r>
        <w:t>a collateral warranty issued by Costplan in favour of Mears dated 22 December 2016 (“the Costplan Warranty”).</w:t>
      </w:r>
    </w:p>
    <w:p w:rsidR="00E015FC" w:rsidRDefault="00E015FC" w:rsidP="00E015FC">
      <w:pPr>
        <w:pStyle w:val="TGLevel1"/>
      </w:pPr>
      <w:r>
        <w:t>At this stage it is necessary to refer only to the AFL. Relevant provisions of the other agreements will be referred to hereafter.</w:t>
      </w:r>
    </w:p>
    <w:p w:rsidR="00E015FC" w:rsidRDefault="00E015FC" w:rsidP="00E015FC">
      <w:pPr>
        <w:pStyle w:val="Heading1"/>
      </w:pPr>
      <w:r>
        <w:t xml:space="preserve">The AFL </w:t>
      </w:r>
    </w:p>
    <w:p w:rsidR="00E015FC" w:rsidRDefault="00815420" w:rsidP="00E015FC">
      <w:pPr>
        <w:pStyle w:val="TGLevel1"/>
      </w:pPr>
      <w:r>
        <w:t>T</w:t>
      </w:r>
      <w:r w:rsidR="00E015FC">
        <w:t xml:space="preserve">his contained the following material terms: </w:t>
      </w:r>
    </w:p>
    <w:p w:rsidR="00815420" w:rsidRPr="0090230A" w:rsidRDefault="004655E0" w:rsidP="0090230A">
      <w:pPr>
        <w:pStyle w:val="TGLevel1"/>
        <w:numPr>
          <w:ilvl w:val="0"/>
          <w:numId w:val="0"/>
        </w:numPr>
        <w:ind w:left="709"/>
        <w:rPr>
          <w:sz w:val="20"/>
          <w:szCs w:val="20"/>
        </w:rPr>
      </w:pPr>
      <w:r>
        <w:rPr>
          <w:sz w:val="20"/>
          <w:szCs w:val="20"/>
        </w:rPr>
        <w:t>“</w:t>
      </w:r>
      <w:r w:rsidR="0090230A" w:rsidRPr="004655E0">
        <w:rPr>
          <w:b/>
          <w:sz w:val="20"/>
          <w:szCs w:val="20"/>
        </w:rPr>
        <w:t>Definitions</w:t>
      </w:r>
      <w:r w:rsidR="0090230A" w:rsidRPr="0090230A">
        <w:rPr>
          <w:sz w:val="20"/>
          <w:szCs w:val="20"/>
        </w:rPr>
        <w:t>:</w:t>
      </w:r>
    </w:p>
    <w:p w:rsidR="00AA3176" w:rsidRDefault="00AA3176" w:rsidP="0090230A">
      <w:pPr>
        <w:pStyle w:val="TGLevel1"/>
        <w:numPr>
          <w:ilvl w:val="0"/>
          <w:numId w:val="0"/>
        </w:numPr>
        <w:spacing w:before="0" w:after="0"/>
        <w:ind w:left="2881" w:hanging="2172"/>
        <w:rPr>
          <w:sz w:val="20"/>
          <w:szCs w:val="20"/>
        </w:rPr>
      </w:pPr>
      <w:r>
        <w:rPr>
          <w:sz w:val="20"/>
          <w:szCs w:val="20"/>
        </w:rPr>
        <w:t>Building Documents</w:t>
      </w:r>
      <w:r>
        <w:rPr>
          <w:sz w:val="20"/>
          <w:szCs w:val="20"/>
        </w:rPr>
        <w:tab/>
        <w:t>the plans, drawings, specifications and other documents listed in Annex A or as from time to time varied by agreement between the parties;</w:t>
      </w:r>
    </w:p>
    <w:p w:rsidR="009626FC" w:rsidRDefault="009626FC" w:rsidP="0090230A">
      <w:pPr>
        <w:pStyle w:val="TGLevel1"/>
        <w:numPr>
          <w:ilvl w:val="0"/>
          <w:numId w:val="0"/>
        </w:numPr>
        <w:spacing w:before="0" w:after="0"/>
        <w:ind w:left="2881" w:hanging="2172"/>
        <w:rPr>
          <w:sz w:val="20"/>
          <w:szCs w:val="20"/>
        </w:rPr>
      </w:pPr>
    </w:p>
    <w:p w:rsidR="00AA3176" w:rsidRDefault="00AA3176" w:rsidP="0090230A">
      <w:pPr>
        <w:pStyle w:val="TGLevel1"/>
        <w:numPr>
          <w:ilvl w:val="0"/>
          <w:numId w:val="0"/>
        </w:numPr>
        <w:spacing w:before="0" w:after="0"/>
        <w:ind w:left="2881" w:hanging="2172"/>
        <w:rPr>
          <w:sz w:val="20"/>
          <w:szCs w:val="20"/>
        </w:rPr>
      </w:pPr>
      <w:r>
        <w:rPr>
          <w:sz w:val="20"/>
          <w:szCs w:val="20"/>
        </w:rPr>
        <w:t xml:space="preserve">Certificate of Practical </w:t>
      </w:r>
      <w:r w:rsidR="009626FC">
        <w:rPr>
          <w:sz w:val="20"/>
          <w:szCs w:val="20"/>
        </w:rPr>
        <w:tab/>
        <w:t>a certificate issued by the Employer’s Agents to the effect that practical completion</w:t>
      </w:r>
    </w:p>
    <w:p w:rsidR="00AA3176" w:rsidRDefault="00AA3176" w:rsidP="0090230A">
      <w:pPr>
        <w:pStyle w:val="TGLevel1"/>
        <w:numPr>
          <w:ilvl w:val="0"/>
          <w:numId w:val="0"/>
        </w:numPr>
        <w:spacing w:before="0" w:after="0"/>
        <w:ind w:left="2881" w:hanging="2172"/>
        <w:rPr>
          <w:sz w:val="20"/>
          <w:szCs w:val="20"/>
        </w:rPr>
      </w:pPr>
      <w:r>
        <w:rPr>
          <w:sz w:val="20"/>
          <w:szCs w:val="20"/>
        </w:rPr>
        <w:t>Completion</w:t>
      </w:r>
      <w:r>
        <w:rPr>
          <w:sz w:val="20"/>
          <w:szCs w:val="20"/>
        </w:rPr>
        <w:tab/>
        <w:t>of the Landlord</w:t>
      </w:r>
      <w:r w:rsidR="009626FC">
        <w:rPr>
          <w:sz w:val="20"/>
          <w:szCs w:val="20"/>
        </w:rPr>
        <w:t>’</w:t>
      </w:r>
      <w:r>
        <w:rPr>
          <w:sz w:val="20"/>
          <w:szCs w:val="20"/>
        </w:rPr>
        <w:t>s Works has been achieved in accordance with the Building Contract</w:t>
      </w:r>
    </w:p>
    <w:p w:rsidR="009626FC" w:rsidRDefault="009626FC" w:rsidP="0090230A">
      <w:pPr>
        <w:pStyle w:val="TGLevel1"/>
        <w:numPr>
          <w:ilvl w:val="0"/>
          <w:numId w:val="0"/>
        </w:numPr>
        <w:spacing w:before="0" w:after="0"/>
        <w:ind w:left="2881" w:hanging="2172"/>
        <w:rPr>
          <w:sz w:val="20"/>
          <w:szCs w:val="20"/>
        </w:rPr>
      </w:pPr>
    </w:p>
    <w:p w:rsidR="00AA3176" w:rsidRDefault="00AA3176" w:rsidP="0090230A">
      <w:pPr>
        <w:pStyle w:val="TGLevel1"/>
        <w:numPr>
          <w:ilvl w:val="0"/>
          <w:numId w:val="0"/>
        </w:numPr>
        <w:spacing w:before="0" w:after="0"/>
        <w:ind w:left="2881" w:hanging="2172"/>
        <w:rPr>
          <w:sz w:val="20"/>
          <w:szCs w:val="20"/>
        </w:rPr>
      </w:pPr>
      <w:r>
        <w:rPr>
          <w:sz w:val="20"/>
          <w:szCs w:val="20"/>
        </w:rPr>
        <w:t xml:space="preserve">Date of Practical </w:t>
      </w:r>
      <w:r w:rsidR="009626FC">
        <w:rPr>
          <w:sz w:val="20"/>
          <w:szCs w:val="20"/>
        </w:rPr>
        <w:tab/>
        <w:t>the date on which the Certificate of Practical Completion is issued</w:t>
      </w:r>
    </w:p>
    <w:p w:rsidR="00AA3176" w:rsidRDefault="00AA3176" w:rsidP="0090230A">
      <w:pPr>
        <w:pStyle w:val="TGLevel1"/>
        <w:numPr>
          <w:ilvl w:val="0"/>
          <w:numId w:val="0"/>
        </w:numPr>
        <w:spacing w:before="0" w:after="0"/>
        <w:ind w:left="2881" w:hanging="2172"/>
        <w:rPr>
          <w:sz w:val="20"/>
          <w:szCs w:val="20"/>
        </w:rPr>
      </w:pPr>
      <w:r>
        <w:rPr>
          <w:sz w:val="20"/>
          <w:szCs w:val="20"/>
        </w:rPr>
        <w:t>Completion</w:t>
      </w:r>
      <w:r>
        <w:rPr>
          <w:sz w:val="20"/>
          <w:szCs w:val="20"/>
        </w:rPr>
        <w:tab/>
      </w:r>
    </w:p>
    <w:p w:rsidR="00A51DC3" w:rsidRDefault="00A51DC3" w:rsidP="0090230A">
      <w:pPr>
        <w:pStyle w:val="TGLevel1"/>
        <w:numPr>
          <w:ilvl w:val="0"/>
          <w:numId w:val="0"/>
        </w:numPr>
        <w:spacing w:before="0" w:after="0"/>
        <w:ind w:left="2881" w:hanging="2172"/>
        <w:rPr>
          <w:sz w:val="20"/>
          <w:szCs w:val="20"/>
        </w:rPr>
      </w:pPr>
    </w:p>
    <w:p w:rsidR="00AA3176" w:rsidRDefault="00AA3176" w:rsidP="0090230A">
      <w:pPr>
        <w:pStyle w:val="TGLevel1"/>
        <w:numPr>
          <w:ilvl w:val="0"/>
          <w:numId w:val="0"/>
        </w:numPr>
        <w:spacing w:before="0" w:after="0"/>
        <w:ind w:left="2881" w:hanging="2172"/>
        <w:rPr>
          <w:sz w:val="20"/>
          <w:szCs w:val="20"/>
        </w:rPr>
      </w:pPr>
      <w:r>
        <w:rPr>
          <w:sz w:val="20"/>
          <w:szCs w:val="20"/>
        </w:rPr>
        <w:t>Defect</w:t>
      </w:r>
      <w:r>
        <w:rPr>
          <w:sz w:val="20"/>
          <w:szCs w:val="20"/>
        </w:rPr>
        <w:tab/>
        <w:t xml:space="preserve">any defect fault or shrinkage in the Landlords Works attributable to them having been carried out otherwise than in accordance with </w:t>
      </w:r>
      <w:r w:rsidR="00A152D1">
        <w:rPr>
          <w:sz w:val="20"/>
          <w:szCs w:val="20"/>
        </w:rPr>
        <w:t>Clause</w:t>
      </w:r>
      <w:r>
        <w:rPr>
          <w:sz w:val="20"/>
          <w:szCs w:val="20"/>
        </w:rPr>
        <w:t xml:space="preserve"> 5</w:t>
      </w:r>
    </w:p>
    <w:p w:rsidR="009626FC" w:rsidRDefault="009626FC" w:rsidP="0090230A">
      <w:pPr>
        <w:pStyle w:val="TGLevel1"/>
        <w:numPr>
          <w:ilvl w:val="0"/>
          <w:numId w:val="0"/>
        </w:numPr>
        <w:spacing w:before="0"/>
        <w:ind w:left="2881" w:hanging="2172"/>
        <w:rPr>
          <w:sz w:val="20"/>
          <w:szCs w:val="20"/>
        </w:rPr>
      </w:pPr>
    </w:p>
    <w:p w:rsidR="00AA3176" w:rsidRPr="00AA3176" w:rsidRDefault="00AA3176" w:rsidP="0090230A">
      <w:pPr>
        <w:pStyle w:val="TGLevel1"/>
        <w:numPr>
          <w:ilvl w:val="0"/>
          <w:numId w:val="0"/>
        </w:numPr>
        <w:spacing w:before="0"/>
        <w:ind w:left="2881" w:hanging="2172"/>
        <w:rPr>
          <w:sz w:val="20"/>
          <w:szCs w:val="20"/>
        </w:rPr>
      </w:pPr>
      <w:r>
        <w:rPr>
          <w:sz w:val="20"/>
          <w:szCs w:val="20"/>
        </w:rPr>
        <w:t>Relevant Defect</w:t>
      </w:r>
      <w:r>
        <w:rPr>
          <w:sz w:val="20"/>
          <w:szCs w:val="20"/>
        </w:rPr>
        <w:tab/>
      </w:r>
      <w:r w:rsidR="0090230A">
        <w:rPr>
          <w:sz w:val="20"/>
          <w:szCs w:val="20"/>
        </w:rPr>
        <w:t>any Defect which appears within</w:t>
      </w:r>
      <w:r w:rsidR="00E53B66">
        <w:rPr>
          <w:sz w:val="20"/>
          <w:szCs w:val="20"/>
        </w:rPr>
        <w:t xml:space="preserve"> the Defects Liability Period</w:t>
      </w:r>
    </w:p>
    <w:p w:rsidR="0090230A" w:rsidRDefault="0090230A" w:rsidP="0090230A">
      <w:pPr>
        <w:pStyle w:val="TGLevel1"/>
        <w:numPr>
          <w:ilvl w:val="0"/>
          <w:numId w:val="0"/>
        </w:numPr>
        <w:ind w:left="1440" w:hanging="731"/>
        <w:rPr>
          <w:rStyle w:val="FontStyle14"/>
          <w:rFonts w:ascii="Times New Roman" w:hAnsi="Times New Roman" w:cs="Times New Roman"/>
          <w:sz w:val="20"/>
          <w:szCs w:val="20"/>
        </w:rPr>
      </w:pPr>
      <w:r>
        <w:rPr>
          <w:rStyle w:val="FontStyle14"/>
          <w:rFonts w:ascii="Times New Roman" w:hAnsi="Times New Roman" w:cs="Times New Roman"/>
          <w:sz w:val="20"/>
          <w:szCs w:val="20"/>
        </w:rPr>
        <w:t>5.1</w:t>
      </w:r>
      <w:r>
        <w:rPr>
          <w:rStyle w:val="FontStyle14"/>
          <w:rFonts w:ascii="Times New Roman" w:hAnsi="Times New Roman" w:cs="Times New Roman"/>
          <w:sz w:val="20"/>
          <w:szCs w:val="20"/>
        </w:rPr>
        <w:tab/>
      </w:r>
      <w:r w:rsidRPr="009638F7">
        <w:rPr>
          <w:rStyle w:val="FontStyle14"/>
          <w:rFonts w:ascii="Times New Roman" w:hAnsi="Times New Roman" w:cs="Times New Roman"/>
          <w:sz w:val="20"/>
          <w:szCs w:val="20"/>
        </w:rPr>
        <w:t>The Landlord must commence the Landlord's Works as soon as reasonably practicable after the necessary Approvals have been obtained, and must diligently carry them out and complete them in a good and workmanlike manner and with sound materials of their respective kinds, in accordance with the terms of any Approvals, in accordance with the Building Contract, and otherwise in accordance with the provisions of this agreement.</w:t>
      </w:r>
    </w:p>
    <w:p w:rsidR="0090230A" w:rsidRDefault="0090230A" w:rsidP="0090230A">
      <w:pPr>
        <w:pStyle w:val="TGLevel1"/>
        <w:numPr>
          <w:ilvl w:val="0"/>
          <w:numId w:val="0"/>
        </w:numPr>
        <w:ind w:left="1440" w:hanging="731"/>
        <w:rPr>
          <w:rStyle w:val="FontStyle14"/>
          <w:rFonts w:ascii="Times New Roman" w:hAnsi="Times New Roman" w:cs="Times New Roman"/>
          <w:sz w:val="20"/>
          <w:szCs w:val="20"/>
        </w:rPr>
      </w:pPr>
      <w:r>
        <w:rPr>
          <w:rStyle w:val="FontStyle14"/>
          <w:rFonts w:ascii="Times New Roman" w:hAnsi="Times New Roman" w:cs="Times New Roman"/>
          <w:sz w:val="20"/>
          <w:szCs w:val="20"/>
        </w:rPr>
        <w:t>5.2</w:t>
      </w:r>
      <w:r>
        <w:rPr>
          <w:rStyle w:val="FontStyle14"/>
          <w:rFonts w:ascii="Times New Roman" w:hAnsi="Times New Roman" w:cs="Times New Roman"/>
          <w:sz w:val="20"/>
          <w:szCs w:val="20"/>
        </w:rPr>
        <w:tab/>
      </w:r>
      <w:r w:rsidRPr="009638F7">
        <w:rPr>
          <w:rStyle w:val="FontStyle14"/>
          <w:rFonts w:ascii="Times New Roman" w:hAnsi="Times New Roman" w:cs="Times New Roman"/>
          <w:sz w:val="20"/>
          <w:szCs w:val="20"/>
        </w:rPr>
        <w:t>The Landlord shall, at its own cost, or procure that the Building Contractor shall pursuant to the Building Contract at its own cost, enter into any statutory agreements, party wall and other third party agreements in respect of the carrying out of the Landlord's Works.</w:t>
      </w:r>
    </w:p>
    <w:p w:rsidR="00FA4AE2" w:rsidRDefault="00FA4AE2" w:rsidP="0090230A">
      <w:pPr>
        <w:pStyle w:val="TGLevel1"/>
        <w:numPr>
          <w:ilvl w:val="0"/>
          <w:numId w:val="0"/>
        </w:numPr>
        <w:ind w:left="1440" w:hanging="731"/>
        <w:rPr>
          <w:rStyle w:val="FontStyle14"/>
          <w:rFonts w:ascii="Times New Roman" w:hAnsi="Times New Roman" w:cs="Times New Roman"/>
          <w:sz w:val="20"/>
          <w:szCs w:val="20"/>
        </w:rPr>
      </w:pPr>
      <w:r>
        <w:rPr>
          <w:rStyle w:val="FontStyle14"/>
          <w:rFonts w:ascii="Times New Roman" w:hAnsi="Times New Roman" w:cs="Times New Roman"/>
          <w:sz w:val="20"/>
          <w:szCs w:val="20"/>
        </w:rPr>
        <w:t>6.</w:t>
      </w:r>
      <w:r>
        <w:rPr>
          <w:rStyle w:val="FontStyle14"/>
          <w:rFonts w:ascii="Times New Roman" w:hAnsi="Times New Roman" w:cs="Times New Roman"/>
          <w:sz w:val="20"/>
          <w:szCs w:val="20"/>
        </w:rPr>
        <w:tab/>
      </w:r>
      <w:r w:rsidRPr="00FA4AE2">
        <w:rPr>
          <w:rStyle w:val="FontStyle14"/>
          <w:rFonts w:ascii="Times New Roman" w:hAnsi="Times New Roman" w:cs="Times New Roman"/>
          <w:b/>
          <w:sz w:val="20"/>
          <w:szCs w:val="20"/>
        </w:rPr>
        <w:t>Variation and Substitution of Materials</w:t>
      </w:r>
    </w:p>
    <w:p w:rsidR="0090230A" w:rsidRDefault="0090230A" w:rsidP="0090230A">
      <w:pPr>
        <w:pStyle w:val="TGLevel1"/>
        <w:numPr>
          <w:ilvl w:val="0"/>
          <w:numId w:val="0"/>
        </w:numPr>
        <w:ind w:left="1440" w:hanging="731"/>
        <w:rPr>
          <w:rStyle w:val="FontStyle14"/>
          <w:rFonts w:ascii="Times New Roman" w:hAnsi="Times New Roman" w:cs="Times New Roman"/>
          <w:sz w:val="20"/>
          <w:szCs w:val="20"/>
        </w:rPr>
      </w:pPr>
      <w:r>
        <w:rPr>
          <w:sz w:val="20"/>
          <w:szCs w:val="20"/>
        </w:rPr>
        <w:t>6.1</w:t>
      </w:r>
      <w:r>
        <w:rPr>
          <w:sz w:val="20"/>
          <w:szCs w:val="20"/>
        </w:rPr>
        <w:tab/>
      </w:r>
      <w:r w:rsidRPr="009638F7">
        <w:rPr>
          <w:rStyle w:val="FontStyle14"/>
          <w:rFonts w:ascii="Times New Roman" w:hAnsi="Times New Roman" w:cs="Times New Roman"/>
          <w:sz w:val="20"/>
          <w:szCs w:val="20"/>
        </w:rPr>
        <w:t xml:space="preserve">Subject to </w:t>
      </w:r>
      <w:r w:rsidR="00A152D1">
        <w:rPr>
          <w:rStyle w:val="FontStyle14"/>
          <w:rFonts w:ascii="Times New Roman" w:hAnsi="Times New Roman" w:cs="Times New Roman"/>
          <w:sz w:val="20"/>
          <w:szCs w:val="20"/>
        </w:rPr>
        <w:t>Clause</w:t>
      </w:r>
      <w:r w:rsidRPr="009638F7">
        <w:rPr>
          <w:rStyle w:val="FontStyle14"/>
          <w:rFonts w:ascii="Times New Roman" w:hAnsi="Times New Roman" w:cs="Times New Roman"/>
          <w:sz w:val="20"/>
          <w:szCs w:val="20"/>
        </w:rPr>
        <w:t xml:space="preserve"> 6.2, if the Landlord is unable, despite having used reasonable endeavours, to obtain any of the materials referred to in the Building Documents within a reasonable and proper time or at a reasonable and proper cost, he may, subject to promptly notifying the Surveyors of his intention to do so, substitute for them alternative materials of equivalent (or better) quality.</w:t>
      </w:r>
    </w:p>
    <w:p w:rsidR="0090230A" w:rsidRPr="009638F7" w:rsidRDefault="0090230A" w:rsidP="00FA4AE2">
      <w:pPr>
        <w:pStyle w:val="Style10"/>
        <w:widowControl/>
        <w:ind w:left="1440" w:hanging="792"/>
        <w:jc w:val="both"/>
        <w:rPr>
          <w:rStyle w:val="FontStyle14"/>
          <w:rFonts w:ascii="Times New Roman" w:hAnsi="Times New Roman" w:cs="Times New Roman"/>
          <w:sz w:val="20"/>
          <w:szCs w:val="20"/>
        </w:rPr>
      </w:pPr>
      <w:r>
        <w:rPr>
          <w:rStyle w:val="FontStyle14"/>
          <w:rFonts w:ascii="Times New Roman" w:hAnsi="Times New Roman" w:cs="Times New Roman"/>
          <w:sz w:val="20"/>
          <w:szCs w:val="20"/>
        </w:rPr>
        <w:t>6.2</w:t>
      </w:r>
      <w:r>
        <w:rPr>
          <w:rStyle w:val="FontStyle14"/>
          <w:rFonts w:ascii="Times New Roman" w:hAnsi="Times New Roman" w:cs="Times New Roman"/>
          <w:sz w:val="20"/>
          <w:szCs w:val="20"/>
        </w:rPr>
        <w:tab/>
      </w:r>
      <w:r w:rsidRPr="009638F7">
        <w:rPr>
          <w:rStyle w:val="FontStyle14"/>
          <w:rFonts w:ascii="Times New Roman" w:hAnsi="Times New Roman" w:cs="Times New Roman"/>
          <w:sz w:val="20"/>
          <w:szCs w:val="20"/>
        </w:rPr>
        <w:t>The Landlord shall not make any variations to the Landlord's Works or Building Documents which:</w:t>
      </w:r>
    </w:p>
    <w:p w:rsidR="0090230A" w:rsidRPr="009638F7" w:rsidRDefault="0090230A" w:rsidP="00FA4AE2">
      <w:pPr>
        <w:pStyle w:val="Style9"/>
        <w:widowControl/>
        <w:tabs>
          <w:tab w:val="left" w:pos="902"/>
        </w:tabs>
        <w:spacing w:before="139"/>
        <w:ind w:left="1440" w:hanging="1181"/>
        <w:jc w:val="both"/>
        <w:rPr>
          <w:rStyle w:val="FontStyle14"/>
          <w:rFonts w:ascii="Times New Roman" w:hAnsi="Times New Roman" w:cs="Times New Roman"/>
          <w:sz w:val="20"/>
          <w:szCs w:val="20"/>
        </w:rPr>
      </w:pPr>
      <w:r>
        <w:rPr>
          <w:rStyle w:val="FontStyle14"/>
          <w:rFonts w:ascii="Times New Roman" w:hAnsi="Times New Roman" w:cs="Times New Roman"/>
          <w:sz w:val="20"/>
          <w:szCs w:val="20"/>
        </w:rPr>
        <w:tab/>
      </w:r>
      <w:r>
        <w:rPr>
          <w:rStyle w:val="FontStyle14"/>
          <w:rFonts w:ascii="Times New Roman" w:hAnsi="Times New Roman" w:cs="Times New Roman"/>
          <w:sz w:val="20"/>
          <w:szCs w:val="20"/>
        </w:rPr>
        <w:tab/>
      </w:r>
      <w:r w:rsidRPr="009638F7">
        <w:rPr>
          <w:rStyle w:val="FontStyle14"/>
          <w:rFonts w:ascii="Times New Roman" w:hAnsi="Times New Roman" w:cs="Times New Roman"/>
          <w:sz w:val="20"/>
          <w:szCs w:val="20"/>
        </w:rPr>
        <w:t>6.2.1</w:t>
      </w:r>
      <w:r w:rsidRPr="009638F7">
        <w:rPr>
          <w:rStyle w:val="FontStyle14"/>
          <w:rFonts w:ascii="Times New Roman" w:hAnsi="Times New Roman" w:cs="Times New Roman"/>
          <w:sz w:val="20"/>
          <w:szCs w:val="20"/>
        </w:rPr>
        <w:tab/>
        <w:t>mater</w:t>
      </w:r>
      <w:r w:rsidRPr="00E53B66">
        <w:rPr>
          <w:rStyle w:val="FontStyle14"/>
          <w:rFonts w:ascii="Times New Roman" w:hAnsi="Times New Roman" w:cs="Times New Roman"/>
          <w:sz w:val="20"/>
          <w:szCs w:val="20"/>
        </w:rPr>
        <w:t>i</w:t>
      </w:r>
      <w:r w:rsidRPr="009638F7">
        <w:rPr>
          <w:rStyle w:val="FontStyle14"/>
          <w:rFonts w:ascii="Times New Roman" w:hAnsi="Times New Roman" w:cs="Times New Roman"/>
          <w:sz w:val="20"/>
          <w:szCs w:val="20"/>
        </w:rPr>
        <w:t>ally affect the size (and a reduction of more than 3% of the size of any distinct area</w:t>
      </w:r>
      <w:r>
        <w:rPr>
          <w:rStyle w:val="FontStyle14"/>
          <w:rFonts w:ascii="Times New Roman" w:hAnsi="Times New Roman" w:cs="Times New Roman"/>
          <w:sz w:val="20"/>
          <w:szCs w:val="20"/>
        </w:rPr>
        <w:t xml:space="preserve"> </w:t>
      </w:r>
      <w:r w:rsidRPr="009638F7">
        <w:rPr>
          <w:rStyle w:val="FontStyle14"/>
          <w:rFonts w:ascii="Times New Roman" w:hAnsi="Times New Roman" w:cs="Times New Roman"/>
          <w:sz w:val="20"/>
          <w:szCs w:val="20"/>
        </w:rPr>
        <w:t>shown upon the Building Documents shall be deemed material), layout or appearance of the Property; or</w:t>
      </w:r>
    </w:p>
    <w:p w:rsidR="0090230A" w:rsidRDefault="0090230A" w:rsidP="004655E0">
      <w:pPr>
        <w:pStyle w:val="TGLevel1"/>
        <w:numPr>
          <w:ilvl w:val="0"/>
          <w:numId w:val="0"/>
        </w:numPr>
        <w:spacing w:after="0"/>
        <w:ind w:left="1440" w:hanging="731"/>
        <w:rPr>
          <w:rStyle w:val="FontStyle14"/>
          <w:rFonts w:ascii="Times New Roman" w:hAnsi="Times New Roman" w:cs="Times New Roman"/>
          <w:sz w:val="20"/>
          <w:szCs w:val="20"/>
        </w:rPr>
      </w:pPr>
      <w:r>
        <w:rPr>
          <w:rStyle w:val="FontStyle14"/>
          <w:rFonts w:ascii="Times New Roman" w:hAnsi="Times New Roman" w:cs="Times New Roman"/>
          <w:sz w:val="20"/>
          <w:szCs w:val="20"/>
        </w:rPr>
        <w:tab/>
      </w:r>
      <w:r w:rsidRPr="009638F7">
        <w:rPr>
          <w:rStyle w:val="FontStyle14"/>
          <w:rFonts w:ascii="Times New Roman" w:hAnsi="Times New Roman" w:cs="Times New Roman"/>
          <w:sz w:val="20"/>
          <w:szCs w:val="20"/>
        </w:rPr>
        <w:t>6.2.2</w:t>
      </w:r>
      <w:r w:rsidRPr="009638F7">
        <w:rPr>
          <w:rStyle w:val="FontStyle14"/>
          <w:rFonts w:ascii="Times New Roman" w:hAnsi="Times New Roman" w:cs="Times New Roman"/>
          <w:sz w:val="20"/>
          <w:szCs w:val="20"/>
        </w:rPr>
        <w:tab/>
        <w:t>result in materially increased maintenance costs or increase the frequency of</w:t>
      </w:r>
      <w:r w:rsidRPr="009638F7">
        <w:rPr>
          <w:rStyle w:val="FontStyle14"/>
          <w:rFonts w:ascii="Times New Roman" w:hAnsi="Times New Roman" w:cs="Times New Roman"/>
          <w:sz w:val="20"/>
          <w:szCs w:val="20"/>
        </w:rPr>
        <w:br/>
        <w:t>component replacement cycles; or</w:t>
      </w:r>
    </w:p>
    <w:p w:rsidR="0090230A" w:rsidRDefault="0090230A" w:rsidP="00FA4AE2">
      <w:pPr>
        <w:pStyle w:val="TGLevel1"/>
        <w:numPr>
          <w:ilvl w:val="0"/>
          <w:numId w:val="0"/>
        </w:numPr>
        <w:ind w:left="1440" w:hanging="731"/>
        <w:rPr>
          <w:rStyle w:val="FontStyle14"/>
          <w:rFonts w:ascii="Times New Roman" w:hAnsi="Times New Roman" w:cs="Times New Roman"/>
          <w:sz w:val="20"/>
          <w:szCs w:val="20"/>
        </w:rPr>
      </w:pPr>
      <w:r>
        <w:rPr>
          <w:rStyle w:val="FontStyle14"/>
          <w:rFonts w:ascii="Times New Roman" w:hAnsi="Times New Roman" w:cs="Times New Roman"/>
          <w:sz w:val="20"/>
          <w:szCs w:val="20"/>
        </w:rPr>
        <w:tab/>
      </w:r>
      <w:r w:rsidRPr="009638F7">
        <w:rPr>
          <w:rStyle w:val="FontStyle14"/>
          <w:rFonts w:ascii="Times New Roman" w:hAnsi="Times New Roman" w:cs="Times New Roman"/>
          <w:sz w:val="20"/>
          <w:szCs w:val="20"/>
        </w:rPr>
        <w:t>6.2.3  are substantial or material</w:t>
      </w:r>
    </w:p>
    <w:p w:rsidR="0090230A" w:rsidRPr="009638F7" w:rsidRDefault="0090230A" w:rsidP="004655E0">
      <w:pPr>
        <w:pStyle w:val="TGLevel1"/>
        <w:numPr>
          <w:ilvl w:val="0"/>
          <w:numId w:val="0"/>
        </w:numPr>
        <w:spacing w:before="0" w:after="120"/>
        <w:ind w:left="1440" w:hanging="731"/>
        <w:rPr>
          <w:rStyle w:val="FontStyle14"/>
          <w:rFonts w:ascii="Times New Roman" w:hAnsi="Times New Roman" w:cs="Times New Roman"/>
          <w:sz w:val="20"/>
          <w:szCs w:val="20"/>
        </w:rPr>
      </w:pPr>
      <w:r>
        <w:rPr>
          <w:rStyle w:val="FontStyle14"/>
          <w:rFonts w:ascii="Times New Roman" w:hAnsi="Times New Roman" w:cs="Times New Roman"/>
          <w:sz w:val="20"/>
          <w:szCs w:val="20"/>
        </w:rPr>
        <w:t>6.3</w:t>
      </w:r>
      <w:r>
        <w:rPr>
          <w:rStyle w:val="FontStyle14"/>
          <w:rFonts w:ascii="Times New Roman" w:hAnsi="Times New Roman" w:cs="Times New Roman"/>
          <w:sz w:val="20"/>
          <w:szCs w:val="20"/>
        </w:rPr>
        <w:tab/>
      </w:r>
      <w:r w:rsidRPr="009638F7">
        <w:rPr>
          <w:rStyle w:val="FontStyle14"/>
          <w:rFonts w:ascii="Times New Roman" w:hAnsi="Times New Roman" w:cs="Times New Roman"/>
          <w:sz w:val="20"/>
          <w:szCs w:val="20"/>
        </w:rPr>
        <w:t xml:space="preserve">Subject to </w:t>
      </w:r>
      <w:r w:rsidR="00A152D1">
        <w:rPr>
          <w:rStyle w:val="FontStyle14"/>
          <w:rFonts w:ascii="Times New Roman" w:hAnsi="Times New Roman" w:cs="Times New Roman"/>
          <w:sz w:val="20"/>
          <w:szCs w:val="20"/>
        </w:rPr>
        <w:t>Clause</w:t>
      </w:r>
      <w:r w:rsidRPr="009638F7">
        <w:rPr>
          <w:rStyle w:val="FontStyle14"/>
          <w:rFonts w:ascii="Times New Roman" w:hAnsi="Times New Roman" w:cs="Times New Roman"/>
          <w:sz w:val="20"/>
          <w:szCs w:val="20"/>
        </w:rPr>
        <w:t xml:space="preserve"> 6.2, the Landlord may make variations to the Landlord's Works without the Tenant's consent if:</w:t>
      </w:r>
    </w:p>
    <w:p w:rsidR="0090230A" w:rsidRDefault="0090230A" w:rsidP="00FA4AE2">
      <w:pPr>
        <w:pStyle w:val="Style8"/>
        <w:widowControl/>
        <w:tabs>
          <w:tab w:val="left" w:pos="1267"/>
        </w:tabs>
        <w:spacing w:line="240" w:lineRule="auto"/>
        <w:ind w:firstLine="0"/>
        <w:jc w:val="both"/>
        <w:rPr>
          <w:rStyle w:val="FontStyle14"/>
          <w:rFonts w:ascii="Times New Roman" w:hAnsi="Times New Roman" w:cs="Times New Roman"/>
          <w:sz w:val="20"/>
          <w:szCs w:val="20"/>
        </w:rPr>
      </w:pPr>
      <w:r>
        <w:rPr>
          <w:rStyle w:val="FontStyle14"/>
          <w:rFonts w:ascii="Times New Roman" w:hAnsi="Times New Roman" w:cs="Times New Roman"/>
          <w:sz w:val="20"/>
          <w:szCs w:val="20"/>
        </w:rPr>
        <w:tab/>
      </w:r>
      <w:r>
        <w:rPr>
          <w:rStyle w:val="FontStyle14"/>
          <w:rFonts w:ascii="Times New Roman" w:hAnsi="Times New Roman" w:cs="Times New Roman"/>
          <w:sz w:val="20"/>
          <w:szCs w:val="20"/>
        </w:rPr>
        <w:tab/>
        <w:t>6.3.1</w:t>
      </w:r>
      <w:r>
        <w:rPr>
          <w:rStyle w:val="FontStyle14"/>
          <w:rFonts w:ascii="Times New Roman" w:hAnsi="Times New Roman" w:cs="Times New Roman"/>
          <w:sz w:val="20"/>
          <w:szCs w:val="20"/>
        </w:rPr>
        <w:tab/>
      </w:r>
      <w:r w:rsidRPr="009638F7">
        <w:rPr>
          <w:rStyle w:val="FontStyle14"/>
          <w:rFonts w:ascii="Times New Roman" w:hAnsi="Times New Roman" w:cs="Times New Roman"/>
          <w:sz w:val="20"/>
          <w:szCs w:val="20"/>
        </w:rPr>
        <w:t>the variations are insubstantial or immaterial and of routine nature; or</w:t>
      </w:r>
    </w:p>
    <w:p w:rsidR="0090230A" w:rsidRPr="009638F7" w:rsidRDefault="0090230A" w:rsidP="00FA4AE2">
      <w:pPr>
        <w:pStyle w:val="Style8"/>
        <w:widowControl/>
        <w:tabs>
          <w:tab w:val="left" w:pos="1267"/>
        </w:tabs>
        <w:spacing w:before="211" w:line="240" w:lineRule="auto"/>
        <w:ind w:firstLine="0"/>
        <w:jc w:val="both"/>
        <w:rPr>
          <w:rStyle w:val="FontStyle14"/>
          <w:rFonts w:ascii="Times New Roman" w:hAnsi="Times New Roman" w:cs="Times New Roman"/>
          <w:sz w:val="20"/>
          <w:szCs w:val="20"/>
        </w:rPr>
      </w:pPr>
      <w:r>
        <w:rPr>
          <w:rStyle w:val="FontStyle14"/>
          <w:rFonts w:ascii="Times New Roman" w:hAnsi="Times New Roman" w:cs="Times New Roman"/>
          <w:sz w:val="20"/>
          <w:szCs w:val="20"/>
        </w:rPr>
        <w:tab/>
      </w:r>
      <w:r>
        <w:rPr>
          <w:rStyle w:val="FontStyle14"/>
          <w:rFonts w:ascii="Times New Roman" w:hAnsi="Times New Roman" w:cs="Times New Roman"/>
          <w:sz w:val="20"/>
          <w:szCs w:val="20"/>
        </w:rPr>
        <w:tab/>
        <w:t>6.3.2</w:t>
      </w:r>
      <w:r>
        <w:rPr>
          <w:rStyle w:val="FontStyle14"/>
          <w:rFonts w:ascii="Times New Roman" w:hAnsi="Times New Roman" w:cs="Times New Roman"/>
          <w:sz w:val="20"/>
          <w:szCs w:val="20"/>
        </w:rPr>
        <w:tab/>
      </w:r>
      <w:r w:rsidRPr="009638F7">
        <w:rPr>
          <w:rStyle w:val="FontStyle14"/>
          <w:rFonts w:ascii="Times New Roman" w:hAnsi="Times New Roman" w:cs="Times New Roman"/>
          <w:sz w:val="20"/>
          <w:szCs w:val="20"/>
        </w:rPr>
        <w:t>the variations are required by the terms of any Approval.</w:t>
      </w:r>
    </w:p>
    <w:p w:rsidR="0090230A" w:rsidRDefault="0090230A" w:rsidP="00FA4AE2">
      <w:pPr>
        <w:pStyle w:val="Style3"/>
        <w:widowControl/>
        <w:spacing w:before="173" w:line="250" w:lineRule="exact"/>
        <w:ind w:left="1434"/>
        <w:rPr>
          <w:rStyle w:val="FontStyle14"/>
          <w:rFonts w:ascii="Times New Roman" w:hAnsi="Times New Roman" w:cs="Times New Roman"/>
          <w:sz w:val="20"/>
          <w:szCs w:val="20"/>
        </w:rPr>
      </w:pPr>
      <w:r w:rsidRPr="009638F7">
        <w:rPr>
          <w:rStyle w:val="FontStyle14"/>
          <w:rFonts w:ascii="Times New Roman" w:hAnsi="Times New Roman" w:cs="Times New Roman"/>
          <w:sz w:val="20"/>
          <w:szCs w:val="20"/>
        </w:rPr>
        <w:t xml:space="preserve">Subject to </w:t>
      </w:r>
      <w:r w:rsidR="00A152D1">
        <w:rPr>
          <w:rStyle w:val="FontStyle14"/>
          <w:rFonts w:ascii="Times New Roman" w:hAnsi="Times New Roman" w:cs="Times New Roman"/>
          <w:sz w:val="20"/>
          <w:szCs w:val="20"/>
        </w:rPr>
        <w:t>Clause</w:t>
      </w:r>
      <w:r w:rsidRPr="009638F7">
        <w:rPr>
          <w:rStyle w:val="FontStyle14"/>
          <w:rFonts w:ascii="Times New Roman" w:hAnsi="Times New Roman" w:cs="Times New Roman"/>
          <w:sz w:val="20"/>
          <w:szCs w:val="20"/>
        </w:rPr>
        <w:t xml:space="preserve"> 6.2, any other variation to the Landlord's Works can be made by the Landlord with t</w:t>
      </w:r>
      <w:r w:rsidR="00E53B66">
        <w:rPr>
          <w:rStyle w:val="FontStyle14"/>
          <w:rFonts w:ascii="Times New Roman" w:hAnsi="Times New Roman" w:cs="Times New Roman"/>
          <w:sz w:val="20"/>
          <w:szCs w:val="20"/>
        </w:rPr>
        <w:t>h</w:t>
      </w:r>
      <w:r w:rsidRPr="009638F7">
        <w:rPr>
          <w:rStyle w:val="FontStyle14"/>
          <w:rFonts w:ascii="Times New Roman" w:hAnsi="Times New Roman" w:cs="Times New Roman"/>
          <w:sz w:val="20"/>
          <w:szCs w:val="20"/>
        </w:rPr>
        <w:t>e consent of the Tenant (such consent not to be unreasonably withheld or delayed).</w:t>
      </w:r>
    </w:p>
    <w:p w:rsidR="0090230A" w:rsidRPr="00FA4AE2" w:rsidRDefault="0090230A" w:rsidP="00FA4AE2">
      <w:pPr>
        <w:pStyle w:val="Style4"/>
        <w:widowControl/>
        <w:spacing w:before="216"/>
        <w:ind w:firstLine="720"/>
        <w:rPr>
          <w:rStyle w:val="FontStyle14"/>
          <w:rFonts w:ascii="Times New Roman" w:hAnsi="Times New Roman" w:cs="Times New Roman"/>
          <w:b/>
          <w:sz w:val="20"/>
          <w:szCs w:val="20"/>
        </w:rPr>
      </w:pPr>
      <w:r w:rsidRPr="00FA4AE2">
        <w:rPr>
          <w:rStyle w:val="FontStyle13"/>
          <w:rFonts w:ascii="Times New Roman" w:hAnsi="Times New Roman" w:cs="Times New Roman"/>
          <w:b w:val="0"/>
          <w:sz w:val="20"/>
          <w:szCs w:val="20"/>
        </w:rPr>
        <w:t>14</w:t>
      </w:r>
      <w:r w:rsidRPr="009638F7">
        <w:rPr>
          <w:rStyle w:val="FontStyle13"/>
          <w:rFonts w:ascii="Times New Roman" w:hAnsi="Times New Roman" w:cs="Times New Roman"/>
          <w:sz w:val="20"/>
          <w:szCs w:val="20"/>
        </w:rPr>
        <w:t xml:space="preserve">     </w:t>
      </w:r>
      <w:r w:rsidRPr="00FA4AE2">
        <w:rPr>
          <w:rStyle w:val="FontStyle14"/>
          <w:rFonts w:ascii="Times New Roman" w:hAnsi="Times New Roman" w:cs="Times New Roman"/>
          <w:b/>
          <w:sz w:val="20"/>
          <w:szCs w:val="20"/>
        </w:rPr>
        <w:t>Practical Completion</w:t>
      </w:r>
    </w:p>
    <w:p w:rsidR="0090230A" w:rsidRDefault="00FA4AE2" w:rsidP="00FA4AE2">
      <w:pPr>
        <w:pStyle w:val="Style8"/>
        <w:widowControl/>
        <w:tabs>
          <w:tab w:val="left" w:pos="955"/>
        </w:tabs>
        <w:spacing w:before="168" w:line="250" w:lineRule="exact"/>
        <w:ind w:left="1440" w:hanging="485"/>
        <w:jc w:val="both"/>
        <w:rPr>
          <w:rStyle w:val="FontStyle14"/>
          <w:rFonts w:ascii="Times New Roman" w:hAnsi="Times New Roman" w:cs="Times New Roman"/>
          <w:sz w:val="20"/>
          <w:szCs w:val="20"/>
        </w:rPr>
      </w:pPr>
      <w:r>
        <w:rPr>
          <w:rStyle w:val="FontStyle14"/>
          <w:rFonts w:ascii="Times New Roman" w:hAnsi="Times New Roman" w:cs="Times New Roman"/>
          <w:sz w:val="20"/>
          <w:szCs w:val="20"/>
        </w:rPr>
        <w:tab/>
        <w:t>14.1</w:t>
      </w:r>
      <w:r>
        <w:rPr>
          <w:rStyle w:val="FontStyle14"/>
          <w:rFonts w:ascii="Times New Roman" w:hAnsi="Times New Roman" w:cs="Times New Roman"/>
          <w:sz w:val="20"/>
          <w:szCs w:val="20"/>
        </w:rPr>
        <w:tab/>
      </w:r>
      <w:r w:rsidR="0090230A" w:rsidRPr="009638F7">
        <w:rPr>
          <w:rStyle w:val="FontStyle14"/>
          <w:rFonts w:ascii="Times New Roman" w:hAnsi="Times New Roman" w:cs="Times New Roman"/>
          <w:sz w:val="20"/>
          <w:szCs w:val="20"/>
        </w:rPr>
        <w:t>The Landlord shall use reasonable endeavours to procure that the Employer's Agent does not issue a Certificate of Practical Completion without previously giving to the Surveyors not less than 5 working days' notice that he proposes to carry out an inspection on a date specified in the notice with a view to issuing the Certificate of Practical Completion.</w:t>
      </w:r>
    </w:p>
    <w:p w:rsidR="0090230A" w:rsidRDefault="00FA4AE2" w:rsidP="00FA4AE2">
      <w:pPr>
        <w:pStyle w:val="Style8"/>
        <w:widowControl/>
        <w:tabs>
          <w:tab w:val="left" w:pos="955"/>
        </w:tabs>
        <w:spacing w:before="168" w:line="250" w:lineRule="exact"/>
        <w:ind w:left="1440" w:hanging="485"/>
        <w:jc w:val="both"/>
        <w:rPr>
          <w:rStyle w:val="FontStyle14"/>
          <w:rFonts w:ascii="Times New Roman" w:hAnsi="Times New Roman" w:cs="Times New Roman"/>
          <w:sz w:val="20"/>
          <w:szCs w:val="20"/>
        </w:rPr>
      </w:pPr>
      <w:r>
        <w:rPr>
          <w:rStyle w:val="FontStyle14"/>
          <w:rFonts w:ascii="Times New Roman" w:hAnsi="Times New Roman" w:cs="Times New Roman"/>
          <w:sz w:val="20"/>
          <w:szCs w:val="20"/>
        </w:rPr>
        <w:tab/>
        <w:t>14.2</w:t>
      </w:r>
      <w:r>
        <w:rPr>
          <w:rStyle w:val="FontStyle14"/>
          <w:rFonts w:ascii="Times New Roman" w:hAnsi="Times New Roman" w:cs="Times New Roman"/>
          <w:sz w:val="20"/>
          <w:szCs w:val="20"/>
        </w:rPr>
        <w:tab/>
      </w:r>
      <w:r w:rsidR="0090230A" w:rsidRPr="009638F7">
        <w:rPr>
          <w:rStyle w:val="FontStyle14"/>
          <w:rFonts w:ascii="Times New Roman" w:hAnsi="Times New Roman" w:cs="Times New Roman"/>
          <w:sz w:val="20"/>
          <w:szCs w:val="20"/>
        </w:rPr>
        <w:t xml:space="preserve">If the inspection does not take place or if, following the inspection, the Certificate of Practical Completion is not issued, the Landlord shall use reasonable endeavours to procure that the Certificate of Practical Completion is not subsequently issued unless notice has again been given to the Surveyors in accordance with </w:t>
      </w:r>
      <w:r w:rsidR="00A152D1">
        <w:rPr>
          <w:rStyle w:val="FontStyle14"/>
          <w:rFonts w:ascii="Times New Roman" w:hAnsi="Times New Roman" w:cs="Times New Roman"/>
          <w:sz w:val="20"/>
          <w:szCs w:val="20"/>
        </w:rPr>
        <w:t>Clause</w:t>
      </w:r>
      <w:r w:rsidR="0090230A" w:rsidRPr="009638F7">
        <w:rPr>
          <w:rStyle w:val="FontStyle14"/>
          <w:rFonts w:ascii="Times New Roman" w:hAnsi="Times New Roman" w:cs="Times New Roman"/>
          <w:sz w:val="20"/>
          <w:szCs w:val="20"/>
        </w:rPr>
        <w:t xml:space="preserve"> 14.1 and this procedure must be repeated as often as necessary until the Certificate of Practical Completion is issued.</w:t>
      </w:r>
    </w:p>
    <w:p w:rsidR="0090230A" w:rsidRDefault="00FA4AE2" w:rsidP="00FA4AE2">
      <w:pPr>
        <w:pStyle w:val="Style8"/>
        <w:widowControl/>
        <w:tabs>
          <w:tab w:val="left" w:pos="955"/>
        </w:tabs>
        <w:spacing w:before="168" w:line="250" w:lineRule="exact"/>
        <w:ind w:left="1440" w:hanging="485"/>
        <w:jc w:val="both"/>
        <w:rPr>
          <w:rStyle w:val="FontStyle14"/>
          <w:rFonts w:ascii="Times New Roman" w:hAnsi="Times New Roman" w:cs="Times New Roman"/>
          <w:sz w:val="20"/>
          <w:szCs w:val="20"/>
        </w:rPr>
      </w:pPr>
      <w:r>
        <w:rPr>
          <w:rStyle w:val="FontStyle14"/>
          <w:rFonts w:ascii="Times New Roman" w:hAnsi="Times New Roman" w:cs="Times New Roman"/>
          <w:sz w:val="20"/>
          <w:szCs w:val="20"/>
        </w:rPr>
        <w:tab/>
        <w:t>14.3</w:t>
      </w:r>
      <w:r>
        <w:rPr>
          <w:rStyle w:val="FontStyle14"/>
          <w:rFonts w:ascii="Times New Roman" w:hAnsi="Times New Roman" w:cs="Times New Roman"/>
          <w:sz w:val="20"/>
          <w:szCs w:val="20"/>
        </w:rPr>
        <w:tab/>
      </w:r>
      <w:r w:rsidR="0090230A" w:rsidRPr="009638F7">
        <w:rPr>
          <w:rStyle w:val="FontStyle14"/>
          <w:rFonts w:ascii="Times New Roman" w:hAnsi="Times New Roman" w:cs="Times New Roman"/>
          <w:sz w:val="20"/>
          <w:szCs w:val="20"/>
        </w:rPr>
        <w:t>The Employer's Agent may not issue a Certificate of Practical Completion until the period of 5 working days has elapsed from the date that the Employer's Agent's notified the Tenant and Surveyor of his proposal to carry out an inspection, as notified to the Surveyors pursuant to Clause 14.1 and the Surveyor has had a reasonable opportunity to view the Property in advance of such date and provide its own views to the Employer's Agent.</w:t>
      </w:r>
    </w:p>
    <w:p w:rsidR="0090230A" w:rsidRDefault="00FA4AE2" w:rsidP="00FA4AE2">
      <w:pPr>
        <w:pStyle w:val="Style8"/>
        <w:widowControl/>
        <w:tabs>
          <w:tab w:val="left" w:pos="955"/>
        </w:tabs>
        <w:spacing w:before="168" w:line="250" w:lineRule="exact"/>
        <w:ind w:left="1440" w:hanging="485"/>
        <w:jc w:val="both"/>
        <w:rPr>
          <w:rStyle w:val="FontStyle14"/>
          <w:rFonts w:ascii="Times New Roman" w:hAnsi="Times New Roman" w:cs="Times New Roman"/>
          <w:sz w:val="20"/>
          <w:szCs w:val="20"/>
        </w:rPr>
      </w:pPr>
      <w:r>
        <w:rPr>
          <w:rStyle w:val="FontStyle14"/>
          <w:rFonts w:ascii="Times New Roman" w:hAnsi="Times New Roman" w:cs="Times New Roman"/>
          <w:sz w:val="20"/>
          <w:szCs w:val="20"/>
        </w:rPr>
        <w:tab/>
        <w:t>14.4</w:t>
      </w:r>
      <w:r>
        <w:rPr>
          <w:rStyle w:val="FontStyle14"/>
          <w:rFonts w:ascii="Times New Roman" w:hAnsi="Times New Roman" w:cs="Times New Roman"/>
          <w:sz w:val="20"/>
          <w:szCs w:val="20"/>
        </w:rPr>
        <w:tab/>
      </w:r>
      <w:r w:rsidR="0090230A" w:rsidRPr="009638F7">
        <w:rPr>
          <w:rStyle w:val="FontStyle14"/>
          <w:rFonts w:ascii="Times New Roman" w:hAnsi="Times New Roman" w:cs="Times New Roman"/>
          <w:sz w:val="20"/>
          <w:szCs w:val="20"/>
        </w:rPr>
        <w:t xml:space="preserve">The Surveyors may attend every inspection, and the Landlord shall use reasonable endeavours to procure that the Employer's Agent has due regard to any written representations made by them within 3 working days after the notice referred to in </w:t>
      </w:r>
      <w:r w:rsidR="00A152D1">
        <w:rPr>
          <w:rStyle w:val="FontStyle14"/>
          <w:rFonts w:ascii="Times New Roman" w:hAnsi="Times New Roman" w:cs="Times New Roman"/>
          <w:sz w:val="20"/>
          <w:szCs w:val="20"/>
        </w:rPr>
        <w:t>Clause</w:t>
      </w:r>
      <w:r w:rsidR="0090230A" w:rsidRPr="009638F7">
        <w:rPr>
          <w:rStyle w:val="FontStyle14"/>
          <w:rFonts w:ascii="Times New Roman" w:hAnsi="Times New Roman" w:cs="Times New Roman"/>
          <w:sz w:val="20"/>
          <w:szCs w:val="20"/>
        </w:rPr>
        <w:t xml:space="preserve"> 14.3. The issue or non-issue of the Certificate of Practical Completion is to be in the sole professional discretion of the Employer's Agent but no Certificate of Practical Completion shall be issued until the Landlord has complied with the </w:t>
      </w:r>
      <w:r w:rsidR="0090230A" w:rsidRPr="00FA4AE2">
        <w:rPr>
          <w:rStyle w:val="FontStyle14"/>
          <w:rFonts w:ascii="Times New Roman" w:hAnsi="Times New Roman" w:cs="Times New Roman"/>
          <w:sz w:val="20"/>
          <w:szCs w:val="20"/>
        </w:rPr>
        <w:t>obligations to supply information</w:t>
      </w:r>
      <w:r w:rsidR="0090230A" w:rsidRPr="009638F7">
        <w:rPr>
          <w:rStyle w:val="FontStyle14"/>
          <w:rFonts w:ascii="Times New Roman" w:hAnsi="Times New Roman" w:cs="Times New Roman"/>
          <w:sz w:val="20"/>
          <w:szCs w:val="20"/>
        </w:rPr>
        <w:t xml:space="preserve"> and documentation and achieve the </w:t>
      </w:r>
      <w:r w:rsidR="0090230A" w:rsidRPr="00FA4AE2">
        <w:rPr>
          <w:rStyle w:val="FontStyle14"/>
          <w:rFonts w:ascii="Times New Roman" w:hAnsi="Times New Roman" w:cs="Times New Roman"/>
          <w:sz w:val="20"/>
          <w:szCs w:val="20"/>
        </w:rPr>
        <w:t>qualitative requirements listed</w:t>
      </w:r>
      <w:r w:rsidR="0090230A" w:rsidRPr="009638F7">
        <w:rPr>
          <w:rStyle w:val="FontStyle14"/>
          <w:rFonts w:ascii="Times New Roman" w:hAnsi="Times New Roman" w:cs="Times New Roman"/>
          <w:sz w:val="20"/>
          <w:szCs w:val="20"/>
        </w:rPr>
        <w:t xml:space="preserve"> in Part A of the list annexed to this agreement at Annex D. </w:t>
      </w:r>
      <w:r>
        <w:rPr>
          <w:rStyle w:val="FontStyle14"/>
          <w:rFonts w:ascii="Times New Roman" w:hAnsi="Times New Roman" w:cs="Times New Roman"/>
          <w:sz w:val="20"/>
          <w:szCs w:val="20"/>
        </w:rPr>
        <w:t>[headed Deliverables]</w:t>
      </w:r>
    </w:p>
    <w:p w:rsidR="0090230A" w:rsidRPr="009638F7" w:rsidRDefault="00FA4AE2" w:rsidP="00FA4AE2">
      <w:pPr>
        <w:pStyle w:val="Style8"/>
        <w:widowControl/>
        <w:tabs>
          <w:tab w:val="left" w:pos="955"/>
        </w:tabs>
        <w:spacing w:before="168" w:line="250" w:lineRule="exact"/>
        <w:ind w:firstLine="0"/>
        <w:jc w:val="both"/>
        <w:rPr>
          <w:rStyle w:val="FontStyle13"/>
          <w:rFonts w:ascii="Times New Roman" w:hAnsi="Times New Roman" w:cs="Times New Roman"/>
          <w:sz w:val="20"/>
          <w:szCs w:val="20"/>
        </w:rPr>
      </w:pPr>
      <w:r>
        <w:rPr>
          <w:rStyle w:val="FontStyle14"/>
          <w:rFonts w:ascii="Times New Roman" w:hAnsi="Times New Roman" w:cs="Times New Roman"/>
          <w:sz w:val="20"/>
          <w:szCs w:val="20"/>
        </w:rPr>
        <w:tab/>
        <w:t>15.</w:t>
      </w:r>
      <w:r>
        <w:rPr>
          <w:rStyle w:val="FontStyle14"/>
          <w:rFonts w:ascii="Times New Roman" w:hAnsi="Times New Roman" w:cs="Times New Roman"/>
          <w:sz w:val="20"/>
          <w:szCs w:val="20"/>
        </w:rPr>
        <w:tab/>
      </w:r>
      <w:r w:rsidR="0090230A" w:rsidRPr="009638F7">
        <w:rPr>
          <w:rStyle w:val="FontStyle13"/>
          <w:rFonts w:ascii="Times New Roman" w:hAnsi="Times New Roman" w:cs="Times New Roman"/>
          <w:sz w:val="20"/>
          <w:szCs w:val="20"/>
        </w:rPr>
        <w:t>Defects liability</w:t>
      </w:r>
    </w:p>
    <w:p w:rsidR="0090230A" w:rsidRPr="009638F7" w:rsidRDefault="00FA4AE2" w:rsidP="00FA4AE2">
      <w:pPr>
        <w:pStyle w:val="Style8"/>
        <w:widowControl/>
        <w:tabs>
          <w:tab w:val="left" w:pos="1022"/>
        </w:tabs>
        <w:spacing w:before="178" w:line="250" w:lineRule="exact"/>
        <w:ind w:left="1440" w:hanging="418"/>
        <w:jc w:val="both"/>
        <w:rPr>
          <w:rStyle w:val="FontStyle14"/>
          <w:rFonts w:ascii="Times New Roman" w:hAnsi="Times New Roman" w:cs="Times New Roman"/>
          <w:sz w:val="20"/>
          <w:szCs w:val="20"/>
        </w:rPr>
      </w:pPr>
      <w:r>
        <w:rPr>
          <w:rStyle w:val="FontStyle14"/>
          <w:rFonts w:ascii="Times New Roman" w:hAnsi="Times New Roman" w:cs="Times New Roman"/>
          <w:sz w:val="20"/>
          <w:szCs w:val="20"/>
        </w:rPr>
        <w:tab/>
        <w:t>15.1</w:t>
      </w:r>
      <w:r>
        <w:rPr>
          <w:rStyle w:val="FontStyle14"/>
          <w:rFonts w:ascii="Times New Roman" w:hAnsi="Times New Roman" w:cs="Times New Roman"/>
          <w:sz w:val="20"/>
          <w:szCs w:val="20"/>
        </w:rPr>
        <w:tab/>
      </w:r>
      <w:r w:rsidR="0090230A" w:rsidRPr="009638F7">
        <w:rPr>
          <w:rStyle w:val="FontStyle14"/>
          <w:rFonts w:ascii="Times New Roman" w:hAnsi="Times New Roman" w:cs="Times New Roman"/>
          <w:sz w:val="20"/>
          <w:szCs w:val="20"/>
        </w:rPr>
        <w:t xml:space="preserve">As soon as practicable after the Date of Practical Completion the Landlord must carry out and complete, in accordance with the provisions of this agreement, any </w:t>
      </w:r>
      <w:r w:rsidR="009626FC">
        <w:rPr>
          <w:rStyle w:val="FontStyle14"/>
          <w:rFonts w:ascii="Times New Roman" w:hAnsi="Times New Roman" w:cs="Times New Roman"/>
          <w:sz w:val="20"/>
          <w:szCs w:val="20"/>
        </w:rPr>
        <w:t>L</w:t>
      </w:r>
      <w:r w:rsidR="0090230A" w:rsidRPr="009638F7">
        <w:rPr>
          <w:rStyle w:val="FontStyle14"/>
          <w:rFonts w:ascii="Times New Roman" w:hAnsi="Times New Roman" w:cs="Times New Roman"/>
          <w:sz w:val="20"/>
          <w:szCs w:val="20"/>
        </w:rPr>
        <w:t>andlord's Works that the Employer's Agent on issuing the Certificate of Practical Completion specifies in writing as being still outstanding….</w:t>
      </w:r>
    </w:p>
    <w:p w:rsidR="0090230A" w:rsidRPr="009638F7" w:rsidRDefault="0090230A" w:rsidP="00FA4AE2">
      <w:pPr>
        <w:pStyle w:val="Style10"/>
        <w:widowControl/>
        <w:spacing w:before="178" w:line="245" w:lineRule="exact"/>
        <w:ind w:left="1440" w:firstLine="0"/>
        <w:jc w:val="both"/>
        <w:rPr>
          <w:rStyle w:val="FontStyle14"/>
          <w:rFonts w:ascii="Times New Roman" w:hAnsi="Times New Roman" w:cs="Times New Roman"/>
          <w:sz w:val="20"/>
          <w:szCs w:val="20"/>
        </w:rPr>
      </w:pPr>
      <w:r w:rsidRPr="009638F7">
        <w:rPr>
          <w:rStyle w:val="FontStyle14"/>
          <w:rFonts w:ascii="Times New Roman" w:hAnsi="Times New Roman" w:cs="Times New Roman"/>
          <w:sz w:val="20"/>
          <w:szCs w:val="20"/>
        </w:rPr>
        <w:t xml:space="preserve">15.7   Except as provided in this </w:t>
      </w:r>
      <w:r w:rsidR="00A152D1">
        <w:rPr>
          <w:rStyle w:val="FontStyle14"/>
          <w:rFonts w:ascii="Times New Roman" w:hAnsi="Times New Roman" w:cs="Times New Roman"/>
          <w:sz w:val="20"/>
          <w:szCs w:val="20"/>
        </w:rPr>
        <w:t>Clause</w:t>
      </w:r>
      <w:r w:rsidRPr="009638F7">
        <w:rPr>
          <w:rStyle w:val="FontStyle14"/>
          <w:rFonts w:ascii="Times New Roman" w:hAnsi="Times New Roman" w:cs="Times New Roman"/>
          <w:sz w:val="20"/>
          <w:szCs w:val="20"/>
        </w:rPr>
        <w:t xml:space="preserve"> 15 (and in the Lease), with effect from the Date of Practical Completion, the Landlord is not to be liable to the Tenant under this agreement for any failure by the Landlord for any reason to comply with his obligations under </w:t>
      </w:r>
      <w:r w:rsidR="00A152D1">
        <w:rPr>
          <w:rStyle w:val="FontStyle14"/>
          <w:rFonts w:ascii="Times New Roman" w:hAnsi="Times New Roman" w:cs="Times New Roman"/>
          <w:sz w:val="20"/>
          <w:szCs w:val="20"/>
        </w:rPr>
        <w:t>Clause</w:t>
      </w:r>
      <w:r w:rsidRPr="009638F7">
        <w:rPr>
          <w:rStyle w:val="FontStyle14"/>
          <w:rFonts w:ascii="Times New Roman" w:hAnsi="Times New Roman" w:cs="Times New Roman"/>
          <w:sz w:val="20"/>
          <w:szCs w:val="20"/>
        </w:rPr>
        <w:t>s 4, 5, 6, 7, 8, 9, 10, 11, 12, 14 and</w:t>
      </w:r>
      <w:r w:rsidR="00DD5C5C">
        <w:rPr>
          <w:rStyle w:val="FontStyle14"/>
          <w:rFonts w:ascii="Times New Roman" w:hAnsi="Times New Roman" w:cs="Times New Roman"/>
          <w:sz w:val="20"/>
          <w:szCs w:val="20"/>
        </w:rPr>
        <w:t xml:space="preserve"> </w:t>
      </w:r>
      <w:r w:rsidRPr="009638F7">
        <w:rPr>
          <w:rStyle w:val="FontStyle14"/>
          <w:rFonts w:ascii="Times New Roman" w:hAnsi="Times New Roman" w:cs="Times New Roman"/>
          <w:sz w:val="20"/>
          <w:szCs w:val="20"/>
        </w:rPr>
        <w:t>15.</w:t>
      </w:r>
      <w:r w:rsidR="00FA4AE2">
        <w:rPr>
          <w:rStyle w:val="FontStyle14"/>
          <w:rFonts w:ascii="Times New Roman" w:hAnsi="Times New Roman" w:cs="Times New Roman"/>
          <w:sz w:val="20"/>
          <w:szCs w:val="20"/>
        </w:rPr>
        <w:t>”</w:t>
      </w:r>
    </w:p>
    <w:p w:rsidR="0090230A" w:rsidRPr="009638F7" w:rsidRDefault="0090230A" w:rsidP="0090230A">
      <w:pPr>
        <w:pStyle w:val="Style8"/>
        <w:widowControl/>
        <w:tabs>
          <w:tab w:val="left" w:pos="955"/>
        </w:tabs>
        <w:spacing w:before="168" w:line="250" w:lineRule="exact"/>
        <w:ind w:left="734" w:firstLine="0"/>
        <w:rPr>
          <w:rStyle w:val="FontStyle14"/>
          <w:rFonts w:ascii="Times New Roman" w:hAnsi="Times New Roman" w:cs="Times New Roman"/>
          <w:b/>
          <w:bCs/>
          <w:sz w:val="20"/>
          <w:szCs w:val="20"/>
        </w:rPr>
      </w:pPr>
    </w:p>
    <w:p w:rsidR="007323CD" w:rsidRDefault="00E015FC" w:rsidP="00C90E75">
      <w:pPr>
        <w:pStyle w:val="TGLevel1"/>
        <w:spacing w:before="0"/>
      </w:pPr>
      <w:r>
        <w:t xml:space="preserve">Annex A contains the “Building Documents” referred to in, among other provisions, </w:t>
      </w:r>
      <w:r w:rsidR="00A152D1">
        <w:t>Clause</w:t>
      </w:r>
      <w:r>
        <w:t>s 6.1 and 6.2.</w:t>
      </w:r>
      <w:r w:rsidR="007323CD">
        <w:t xml:space="preserve"> These include the Employers Requirements (including Contractors Proposals) which themselves include the following:</w:t>
      </w:r>
    </w:p>
    <w:p w:rsidR="007323CD" w:rsidRDefault="007323CD" w:rsidP="007323CD">
      <w:pPr>
        <w:pStyle w:val="TGLevel2"/>
      </w:pPr>
      <w:r>
        <w:t xml:space="preserve">at appendix I </w:t>
      </w:r>
      <w:r w:rsidR="00FA4AE2">
        <w:t xml:space="preserve">headed </w:t>
      </w:r>
      <w:r>
        <w:t>“Design Information” a number of architects</w:t>
      </w:r>
      <w:r w:rsidR="009626FC">
        <w:t>’</w:t>
      </w:r>
      <w:r>
        <w:t xml:space="preserve"> drawings produced by JS used originally in the application for planning permission. These are the drawings referred to above and a</w:t>
      </w:r>
      <w:r w:rsidR="00FA4AE2">
        <w:t>t</w:t>
      </w:r>
      <w:r>
        <w:t xml:space="preserve"> trial generally as “the Planning Drawings” and they all date from April-June 2014. They contain area measurements (in square metres) for each of the rooms at the Property;</w:t>
      </w:r>
    </w:p>
    <w:p w:rsidR="007323CD" w:rsidRDefault="007323CD" w:rsidP="007323CD">
      <w:pPr>
        <w:pStyle w:val="TGLevel2"/>
      </w:pPr>
      <w:r>
        <w:t>at Appendix L, also h</w:t>
      </w:r>
      <w:r w:rsidR="00FA4AE2">
        <w:t>eaded</w:t>
      </w:r>
      <w:r>
        <w:t xml:space="preserve"> “Design Information” various other documents. These include:</w:t>
      </w:r>
    </w:p>
    <w:p w:rsidR="007323CD" w:rsidRDefault="007323CD" w:rsidP="007323CD">
      <w:pPr>
        <w:pStyle w:val="TGLevel3"/>
      </w:pPr>
      <w:r>
        <w:t>4 sets of drawings dating from April 2015 produced by Elements</w:t>
      </w:r>
      <w:r w:rsidR="00E53B66">
        <w:t xml:space="preserve"> (“</w:t>
      </w:r>
      <w:r w:rsidR="00C90E75">
        <w:t>the Elements Drawings”)</w:t>
      </w:r>
      <w:r w:rsidR="00E53B66">
        <w:t>, an</w:t>
      </w:r>
      <w:r>
        <w:t xml:space="preserve"> associated company of Pickstock which specialises in the modular construction of individual rooms off-site at its factory, and which would then be transported to and installed in sites such as that at the Property;</w:t>
      </w:r>
    </w:p>
    <w:p w:rsidR="007323CD" w:rsidRDefault="007323CD" w:rsidP="007323CD">
      <w:pPr>
        <w:pStyle w:val="TGLevel3"/>
      </w:pPr>
      <w:r>
        <w:t>a document from Pickstock headed “Layout and Finishes” and dated April 2016. This in turn included at internal page 1 a plan of a cluster room and a DDA studio, type SV Studio and kitchen types 1 and 04 block A and at pages 22-27, drawings for stud</w:t>
      </w:r>
      <w:r w:rsidR="00FA4AE2">
        <w:t>ios 1-6. A reference to Studio 1</w:t>
      </w:r>
      <w:r>
        <w:t xml:space="preserve"> would mean any studio on any floor in Block B where the last number was a 1, and so on; there was also at page 32 a plan of the communal area. Each of these plans had a scale but the internal area in each room was not shown (save for the student lounge) in contrast to the Planning Drawings. I refer to these drawings as “the Layout Drawings”.</w:t>
      </w:r>
      <w:r w:rsidR="00C95911">
        <w:t xml:space="preserve"> Also, and in contrast to the Planning Drawings, they were by no means comprehensive as to all of the rooms in Blocks A and B. Also in the same document where a number of CGI photographs of the intended rooms together with documents dealing with ironmongery, fittings etc.</w:t>
      </w:r>
    </w:p>
    <w:p w:rsidR="00E015FC" w:rsidRDefault="00C22332" w:rsidP="00C22332">
      <w:pPr>
        <w:pStyle w:val="Heading1"/>
      </w:pPr>
      <w:r>
        <w:t xml:space="preserve">The rooms as built </w:t>
      </w:r>
    </w:p>
    <w:p w:rsidR="00C22332" w:rsidRDefault="00FA4AE2" w:rsidP="00C95911">
      <w:pPr>
        <w:pStyle w:val="TGLevel1"/>
      </w:pPr>
      <w:r>
        <w:t>T</w:t>
      </w:r>
      <w:r w:rsidR="00C22332">
        <w:t>he intention originally was that the rooms for both Block A and B would be of modular construction. In the end, however, in the case of Block B, all the rooms were built on site which required some structural modifications.</w:t>
      </w:r>
    </w:p>
    <w:p w:rsidR="00C22332" w:rsidRDefault="00C22332" w:rsidP="00C95911">
      <w:pPr>
        <w:pStyle w:val="TGLevel1"/>
      </w:pPr>
      <w:r>
        <w:t>The total number of bedrooms, whether studios or flats within clusters, as intended and as built was 348. To this must be added the kitchens for each of the clusters and certain other rooms.</w:t>
      </w:r>
    </w:p>
    <w:p w:rsidR="00C22332" w:rsidRDefault="00C22332" w:rsidP="00C95911">
      <w:pPr>
        <w:pStyle w:val="TGLevel1"/>
      </w:pPr>
      <w:r>
        <w:t>As now alleged, Mears says that a total of 56 rooms ha</w:t>
      </w:r>
      <w:r w:rsidR="00A57CCA">
        <w:t>ve</w:t>
      </w:r>
      <w:r>
        <w:t xml:space="preserve"> been built too small; that figure is made up of:</w:t>
      </w:r>
    </w:p>
    <w:p w:rsidR="00C22332" w:rsidRDefault="00C22332" w:rsidP="00C22332">
      <w:pPr>
        <w:pStyle w:val="TGLevel2"/>
      </w:pPr>
      <w:r>
        <w:t xml:space="preserve">29 bedrooms in Block </w:t>
      </w:r>
      <w:r w:rsidR="00DD5C5C">
        <w:t>B</w:t>
      </w:r>
      <w:r>
        <w:t>;</w:t>
      </w:r>
    </w:p>
    <w:p w:rsidR="00A57CCA" w:rsidRDefault="00C22332" w:rsidP="00C22332">
      <w:pPr>
        <w:pStyle w:val="TGLevel2"/>
      </w:pPr>
      <w:r>
        <w:t xml:space="preserve">14 kitchens in Block </w:t>
      </w:r>
      <w:r w:rsidR="00DD5C5C">
        <w:t>A</w:t>
      </w:r>
      <w:r w:rsidR="00A57CCA">
        <w:t>;</w:t>
      </w:r>
    </w:p>
    <w:p w:rsidR="00A57CCA" w:rsidRDefault="00A57CCA" w:rsidP="00C22332">
      <w:pPr>
        <w:pStyle w:val="TGLevel2"/>
      </w:pPr>
      <w:r>
        <w:t xml:space="preserve">9 </w:t>
      </w:r>
      <w:r w:rsidR="00D744BD">
        <w:t>bedrooms in Bl</w:t>
      </w:r>
      <w:r>
        <w:t>o</w:t>
      </w:r>
      <w:r w:rsidR="00D744BD">
        <w:t>c</w:t>
      </w:r>
      <w:r>
        <w:t>k A;</w:t>
      </w:r>
    </w:p>
    <w:p w:rsidR="00C22332" w:rsidRDefault="00A57CCA" w:rsidP="00C22332">
      <w:pPr>
        <w:pStyle w:val="TGLevel2"/>
      </w:pPr>
      <w:r>
        <w:t xml:space="preserve">Kitchen Type K3 </w:t>
      </w:r>
      <w:r w:rsidR="00D744BD">
        <w:t>Block</w:t>
      </w:r>
      <w:r>
        <w:t xml:space="preserve"> A; and </w:t>
      </w:r>
    </w:p>
    <w:p w:rsidR="00C22332" w:rsidRDefault="00C22332" w:rsidP="00C22332">
      <w:pPr>
        <w:pStyle w:val="TGLevel2"/>
      </w:pPr>
      <w:r>
        <w:t xml:space="preserve">3 further rooms being the student bin store, retail bin store and laundry room in </w:t>
      </w:r>
      <w:r w:rsidR="00FA4AE2">
        <w:t xml:space="preserve">the lower ground floor of </w:t>
      </w:r>
      <w:r w:rsidR="00A57CCA">
        <w:t>Block A;</w:t>
      </w:r>
    </w:p>
    <w:p w:rsidR="00C22332" w:rsidRDefault="00C22332" w:rsidP="00C22332">
      <w:pPr>
        <w:pStyle w:val="TGLevel1"/>
      </w:pPr>
      <w:r>
        <w:t xml:space="preserve">I have also been assisted by 4 separate </w:t>
      </w:r>
      <w:r w:rsidR="00FA4AE2">
        <w:t xml:space="preserve">trial </w:t>
      </w:r>
      <w:r>
        <w:t>bundles of plans and drawings:</w:t>
      </w:r>
    </w:p>
    <w:p w:rsidR="00C22332" w:rsidRDefault="00C22332" w:rsidP="00C22332">
      <w:pPr>
        <w:pStyle w:val="TGLevel2"/>
      </w:pPr>
      <w:r>
        <w:t>Bundle I</w:t>
      </w:r>
      <w:r w:rsidR="00FA4AE2">
        <w:t xml:space="preserve"> </w:t>
      </w:r>
      <w:r>
        <w:t>-</w:t>
      </w:r>
      <w:r w:rsidR="00FA4AE2">
        <w:t xml:space="preserve"> </w:t>
      </w:r>
      <w:r>
        <w:t>the Planning Drawings;</w:t>
      </w:r>
    </w:p>
    <w:p w:rsidR="00C22332" w:rsidRDefault="00C22332" w:rsidP="00C22332">
      <w:pPr>
        <w:pStyle w:val="TGLevel2"/>
      </w:pPr>
      <w:r>
        <w:t>Bundles J and K</w:t>
      </w:r>
      <w:r w:rsidR="00FA4AE2">
        <w:t xml:space="preserve"> </w:t>
      </w:r>
      <w:r>
        <w:t>-</w:t>
      </w:r>
      <w:r w:rsidR="00FA4AE2">
        <w:t xml:space="preserve"> </w:t>
      </w:r>
      <w:r>
        <w:t>the drawings current at the time of the AFL but not included in Appendix A thereto</w:t>
      </w:r>
      <w:r w:rsidR="004655E0">
        <w:t xml:space="preserve"> (i.e. the Current Drawings)</w:t>
      </w:r>
      <w:r>
        <w:t>; and</w:t>
      </w:r>
    </w:p>
    <w:p w:rsidR="00C22332" w:rsidRDefault="00C22332" w:rsidP="00C22332">
      <w:pPr>
        <w:pStyle w:val="TGLevel2"/>
      </w:pPr>
      <w:r>
        <w:t>Bundle L</w:t>
      </w:r>
      <w:r w:rsidR="00FA4AE2">
        <w:t xml:space="preserve"> </w:t>
      </w:r>
      <w:r>
        <w:t>-</w:t>
      </w:r>
      <w:r w:rsidR="00FA4AE2">
        <w:t xml:space="preserve"> </w:t>
      </w:r>
      <w:r>
        <w:t>the latest drawings from 2018 representing the Property as built.</w:t>
      </w:r>
    </w:p>
    <w:p w:rsidR="00C22332" w:rsidRDefault="00FA4AE2" w:rsidP="00C22332">
      <w:pPr>
        <w:pStyle w:val="TGLevel1"/>
      </w:pPr>
      <w:r>
        <w:t>A</w:t>
      </w:r>
      <w:r w:rsidR="00C22332">
        <w:t xml:space="preserve">ppendix 2 </w:t>
      </w:r>
      <w:r>
        <w:t xml:space="preserve">to </w:t>
      </w:r>
      <w:r w:rsidR="00C22332">
        <w:t xml:space="preserve">Mears’ </w:t>
      </w:r>
      <w:r>
        <w:t>O</w:t>
      </w:r>
      <w:r w:rsidR="00C22332">
        <w:t xml:space="preserve">pening shows a list of the 56 rooms complained of and the percentage difference in size from the Planning Drawings. Pickstock has produced its own version of this with some further annotations. An artist’s impression of the Property from July 2014 at </w:t>
      </w:r>
      <w:r>
        <w:t>A</w:t>
      </w:r>
      <w:r w:rsidR="00C22332">
        <w:t xml:space="preserve">ppendix 2 </w:t>
      </w:r>
      <w:r>
        <w:t xml:space="preserve">to </w:t>
      </w:r>
      <w:r w:rsidR="00C22332">
        <w:t xml:space="preserve">Mears </w:t>
      </w:r>
      <w:r>
        <w:t>O</w:t>
      </w:r>
      <w:r w:rsidR="00C22332">
        <w:t>pening is a useful guide.</w:t>
      </w:r>
    </w:p>
    <w:p w:rsidR="00C22332" w:rsidRDefault="00C22332" w:rsidP="00C22332">
      <w:pPr>
        <w:pStyle w:val="TGLevel1"/>
      </w:pPr>
      <w:r>
        <w:t>Finally, Pickstock has produced a plan that shows, for each floor of each block, those rooms which are smaller than the Planning Drawings but not in dispute, a number of rooms which are larger and not in dispute, a number of rooms which are the same size, and then finally the rooms which are smaller and are in dispute</w:t>
      </w:r>
      <w:r w:rsidR="00FA4AE2">
        <w:t xml:space="preserve"> (“the Rooms Schedule”)</w:t>
      </w:r>
      <w:r>
        <w:t>.</w:t>
      </w:r>
    </w:p>
    <w:p w:rsidR="00FA4AE2" w:rsidRDefault="00C22332" w:rsidP="00C22332">
      <w:pPr>
        <w:pStyle w:val="TGLevel1"/>
      </w:pPr>
      <w:r>
        <w:t>It is not in dispute that each of the 56 rooms complained of were all 3% smaller than the Planning Drawings</w:t>
      </w:r>
      <w:r w:rsidR="00FA4AE2">
        <w:t xml:space="preserve">. </w:t>
      </w:r>
    </w:p>
    <w:p w:rsidR="00C22332" w:rsidRDefault="00C22332" w:rsidP="00C22332">
      <w:pPr>
        <w:pStyle w:val="TGLevel1"/>
      </w:pPr>
      <w:r>
        <w:t>Furthermore, it is not in dispute that it is now impossible to correct the 56 rooms affected, by rebuilding them according to the dimension</w:t>
      </w:r>
      <w:r w:rsidR="00FA4AE2">
        <w:t xml:space="preserve">s </w:t>
      </w:r>
      <w:r>
        <w:t>shown in the Planning Drawings. That is because the Property has now been built and to adjust the size would require the rebuilding of the blocks themselves. In that sense, these are deviations which are now irremediable.</w:t>
      </w:r>
    </w:p>
    <w:p w:rsidR="00C22332" w:rsidRDefault="00C22332" w:rsidP="00C22332">
      <w:pPr>
        <w:pStyle w:val="Heading1"/>
      </w:pPr>
      <w:r>
        <w:t xml:space="preserve">Construction of </w:t>
      </w:r>
      <w:r w:rsidR="00A152D1">
        <w:t>Clause</w:t>
      </w:r>
      <w:r>
        <w:t xml:space="preserve"> 6.2.1</w:t>
      </w:r>
      <w:r w:rsidR="004E2CC6">
        <w:t xml:space="preserve"> and declaration 4</w:t>
      </w:r>
      <w:r>
        <w:t xml:space="preserve"> </w:t>
      </w:r>
    </w:p>
    <w:p w:rsidR="00823AE3" w:rsidRDefault="00823AE3" w:rsidP="00C22332">
      <w:pPr>
        <w:pStyle w:val="TGLevel1"/>
      </w:pPr>
      <w:r>
        <w:t>Clause 6.2 provides 3 cases where a variation to the works or Building Documents would amount to a breach of the AFL:</w:t>
      </w:r>
    </w:p>
    <w:p w:rsidR="00823AE3" w:rsidRDefault="00FA4AE2" w:rsidP="00823AE3">
      <w:pPr>
        <w:pStyle w:val="TGLevel2"/>
      </w:pPr>
      <w:r>
        <w:t>w</w:t>
      </w:r>
      <w:r w:rsidR="00823AE3">
        <w:t>he</w:t>
      </w:r>
      <w:r>
        <w:t xml:space="preserve">re the </w:t>
      </w:r>
      <w:r w:rsidR="00823AE3">
        <w:t>variation materially affects size layout or appearance of the Property. In that regard, and by reason of the words in parentheses, any reduction of more than 3% of the size of any “distinct area” shown on the Building Documents is deemed material;</w:t>
      </w:r>
    </w:p>
    <w:p w:rsidR="00823AE3" w:rsidRDefault="00823AE3" w:rsidP="00823AE3">
      <w:pPr>
        <w:pStyle w:val="TGLevel2"/>
      </w:pPr>
      <w:r>
        <w:t>variations which lead to materially increased maintenance costs or increase the frequency of component replacement cycles;</w:t>
      </w:r>
    </w:p>
    <w:p w:rsidR="00823AE3" w:rsidRDefault="00823AE3" w:rsidP="00823AE3">
      <w:pPr>
        <w:pStyle w:val="TGLevel2"/>
      </w:pPr>
      <w:r>
        <w:t>variations which are (otherwise) substantial or material.</w:t>
      </w:r>
    </w:p>
    <w:p w:rsidR="00823AE3" w:rsidRDefault="00823AE3" w:rsidP="00823AE3">
      <w:pPr>
        <w:pStyle w:val="TGLevel1"/>
      </w:pPr>
      <w:r>
        <w:t xml:space="preserve">The deeming provision in </w:t>
      </w:r>
      <w:r w:rsidR="00A152D1">
        <w:t>Clause</w:t>
      </w:r>
      <w:r>
        <w:t xml:space="preserve"> 6.2.1 is not surprising. It avoids, in one important area of the works, a dispute as to what deviation should be regarded as “material”. And it ties the areas down to those shown in the Building Documents. Materiality, therefore, whether deemed by </w:t>
      </w:r>
      <w:r w:rsidR="00A152D1">
        <w:t>Clause</w:t>
      </w:r>
      <w:r>
        <w:t xml:space="preserve"> 6.2.1 or otherwise, goes to the extent of the variation which has occurred. Unless material “or substantial” any such variation does not amount to a breach. But if it does, the fact that there has been a material variation says nothing about the extent or importance of that breach to the </w:t>
      </w:r>
      <w:r w:rsidR="00C90E75">
        <w:t>P</w:t>
      </w:r>
      <w:r>
        <w:t xml:space="preserve">roperty </w:t>
      </w:r>
      <w:r w:rsidR="00C90E75">
        <w:t xml:space="preserve">or works </w:t>
      </w:r>
      <w:r>
        <w:t>as a whole.</w:t>
      </w:r>
    </w:p>
    <w:p w:rsidR="00823AE3" w:rsidRDefault="00823AE3" w:rsidP="00823AE3">
      <w:pPr>
        <w:pStyle w:val="TGLevel1"/>
      </w:pPr>
      <w:r>
        <w:t xml:space="preserve">Accordingly, the fact that there is a material variation for the purposes of </w:t>
      </w:r>
      <w:r w:rsidR="00A152D1">
        <w:t>Clause</w:t>
      </w:r>
      <w:r>
        <w:t xml:space="preserve"> 6.2.1 does not mean without more that the resulting breach is itself material or substantial. In contending that it does, it seems to me that Mears is </w:t>
      </w:r>
      <w:r w:rsidR="00FA4AE2">
        <w:t xml:space="preserve">eliding </w:t>
      </w:r>
      <w:r>
        <w:t xml:space="preserve">these </w:t>
      </w:r>
      <w:r w:rsidR="00FA4AE2">
        <w:t xml:space="preserve">two </w:t>
      </w:r>
      <w:r>
        <w:t>quite different concepts: (a) the scale of the variation and (b) the scale of any resultant breach.</w:t>
      </w:r>
    </w:p>
    <w:p w:rsidR="00823AE3" w:rsidRDefault="00823AE3" w:rsidP="00823AE3">
      <w:pPr>
        <w:pStyle w:val="TGLevel1"/>
      </w:pPr>
      <w:r>
        <w:t>Nor are the expressions “material” and “substantial” legal terms of art as such. It is true that if a party wants to allege that there has been a repudi</w:t>
      </w:r>
      <w:r w:rsidR="00C90E75">
        <w:t>atory breach of contract which it</w:t>
      </w:r>
      <w:r>
        <w:t xml:space="preserve"> wishes to accept, thereby bringing the primary obligations under the contract to an end, it will normally have to show that the breach complained of is sufficiently serious and substantial. That is in order to make good the underlying requirement for repudiation which is that by such breach,</w:t>
      </w:r>
      <w:r w:rsidR="00A152D1">
        <w:t xml:space="preserve"> the other party has evinced an</w:t>
      </w:r>
      <w:r>
        <w:t xml:space="preserve"> unwillingness or inability to be bound by or perform (to completion or otherwise) the contract. Alternatively the innocent party would have to show that the term broken was itself a condition of the contract i.e.</w:t>
      </w:r>
      <w:r w:rsidR="00A152D1">
        <w:t>, either expressly or impliedly</w:t>
      </w:r>
      <w:r>
        <w:t xml:space="preserve"> it was itself of sufficient importance that any breach thereof would entitle the innocent party to treat themselves as discharged without more.</w:t>
      </w:r>
    </w:p>
    <w:p w:rsidR="00393EDE" w:rsidRDefault="00823AE3" w:rsidP="00393EDE">
      <w:pPr>
        <w:pStyle w:val="TGLevel1"/>
      </w:pPr>
      <w:r>
        <w:t xml:space="preserve">In effect, the latter is what Mears was contending for. I recognise that </w:t>
      </w:r>
      <w:r w:rsidR="00A152D1">
        <w:t>Clause</w:t>
      </w:r>
      <w:r>
        <w:t xml:space="preserve"> 6.2.1 deals with important matters</w:t>
      </w:r>
      <w:r w:rsidR="00A152D1">
        <w:t>,</w:t>
      </w:r>
      <w:r>
        <w:t xml:space="preserve"> namely the building of the Property to the correct specification in circumstances where Mears must take a </w:t>
      </w:r>
      <w:r w:rsidR="00393EDE">
        <w:t xml:space="preserve">very expensive </w:t>
      </w:r>
      <w:r>
        <w:t>2</w:t>
      </w:r>
      <w:r w:rsidR="00E53B66">
        <w:t>1</w:t>
      </w:r>
      <w:r>
        <w:t xml:space="preserve"> year lease </w:t>
      </w:r>
      <w:r w:rsidR="00393EDE">
        <w:t xml:space="preserve">unless it can terminate the AFL, and of course this is not the usual situation between an employer and a contractor in respect of a building contract. This was one of the reasons which influenced me to grant an injunction restraining certification of practical completion in the light of the principal defects then complained of which included the roof and room size. </w:t>
      </w:r>
      <w:r w:rsidR="000B7282">
        <w:t>I also recognise that upon practical completion there is the curtailment thereafter of a number of other remedies for breach of the AFL</w:t>
      </w:r>
      <w:r w:rsidR="00393EDE">
        <w:t xml:space="preserve">, </w:t>
      </w:r>
      <w:r w:rsidR="000B7282">
        <w:t>by reason of Clause 15.7.</w:t>
      </w:r>
      <w:r w:rsidR="00393EDE">
        <w:t xml:space="preserve"> But even without regard to available alternative remedies, I do not see how these matters can mean that </w:t>
      </w:r>
      <w:r w:rsidR="00393EDE">
        <w:rPr>
          <w:u w:val="single"/>
        </w:rPr>
        <w:t>any</w:t>
      </w:r>
      <w:r w:rsidR="00393EDE">
        <w:t xml:space="preserve"> breach of Clause 6.2.1 effectively bars out practical completion so that Mears can walk away.</w:t>
      </w:r>
    </w:p>
    <w:p w:rsidR="00823AE3" w:rsidRDefault="00823AE3" w:rsidP="00823AE3">
      <w:pPr>
        <w:pStyle w:val="TGLevel1"/>
      </w:pPr>
      <w:r>
        <w:t xml:space="preserve">I </w:t>
      </w:r>
      <w:r w:rsidR="00393EDE">
        <w:t xml:space="preserve">further </w:t>
      </w:r>
      <w:r>
        <w:t>recognise that</w:t>
      </w:r>
      <w:r w:rsidR="00C90E75">
        <w:t xml:space="preserve"> Clause </w:t>
      </w:r>
      <w:r>
        <w:t xml:space="preserve">6.2 trumps, as it were, </w:t>
      </w:r>
      <w:r w:rsidR="00A152D1">
        <w:t>Clause</w:t>
      </w:r>
      <w:r>
        <w:t xml:space="preserve"> 6.3 which allows for certain variations either without Mears</w:t>
      </w:r>
      <w:r w:rsidR="00A57CCA">
        <w:t>,</w:t>
      </w:r>
      <w:r>
        <w:t xml:space="preserve"> consent or </w:t>
      </w:r>
      <w:r w:rsidR="00A152D1">
        <w:t xml:space="preserve">as </w:t>
      </w:r>
      <w:r>
        <w:t xml:space="preserve">to which it should reasonably consent. But I cannot see how one has to interpret this term as meaning that any breach is </w:t>
      </w:r>
      <w:r w:rsidRPr="00A152D1">
        <w:rPr>
          <w:u w:val="single"/>
        </w:rPr>
        <w:t>itself</w:t>
      </w:r>
      <w:r>
        <w:t xml:space="preserve"> so important that it has the consequence (through the particular mechanism provided for in the AFL) that one way or the other Mears is entitled to terminate. It would mean that one material deviation in respect of one room (for example a bin store) would have that effect. That result seems to me to be so commercially absurd that it cannot be right. That, of course, does not mean that the existence of such a breach will not entitle Mears to a remedy in damages and I deal with that below. Nor can the outcome proposed by Mears be made more palatable by the introduction of a limiting factor such as “</w:t>
      </w:r>
      <w:r w:rsidRPr="00A152D1">
        <w:rPr>
          <w:i/>
        </w:rPr>
        <w:t>de minimis</w:t>
      </w:r>
      <w:r>
        <w:t>”, so that any breach must at least surpass that modest threshold. That is because if the provision was really a condition of the AFL it is hard to see why such a threshold would work here. Nor may it always be easy, in fact, to say what is “</w:t>
      </w:r>
      <w:r w:rsidRPr="00A152D1">
        <w:rPr>
          <w:i/>
        </w:rPr>
        <w:t>de minimis</w:t>
      </w:r>
      <w:r>
        <w:t xml:space="preserve">” or not. Even with that threshold, I still do not see how without more </w:t>
      </w:r>
      <w:r w:rsidR="00A152D1">
        <w:t>Clause</w:t>
      </w:r>
      <w:r>
        <w:t xml:space="preserve"> 6.2 can be regarded as a condition of the AFL.</w:t>
      </w:r>
    </w:p>
    <w:p w:rsidR="0083685D" w:rsidRDefault="00823AE3" w:rsidP="00823AE3">
      <w:pPr>
        <w:pStyle w:val="TGLevel1"/>
      </w:pPr>
      <w:r>
        <w:t xml:space="preserve">For the avoidance of doubt, I do not consider that any breach of </w:t>
      </w:r>
      <w:r w:rsidR="00A152D1">
        <w:t>Clause</w:t>
      </w:r>
      <w:r>
        <w:t xml:space="preserve"> 6.2.1, if more than “</w:t>
      </w:r>
      <w:r w:rsidRPr="00A152D1">
        <w:rPr>
          <w:i/>
        </w:rPr>
        <w:t>de minimis</w:t>
      </w:r>
      <w:r w:rsidR="00A967D3">
        <w:t xml:space="preserve">”, </w:t>
      </w:r>
      <w:r w:rsidR="0083685D">
        <w:t xml:space="preserve">would </w:t>
      </w:r>
      <w:r w:rsidR="00A967D3">
        <w:t xml:space="preserve">then </w:t>
      </w:r>
      <w:r w:rsidR="0083685D">
        <w:t>count as material or substantial. There is much ground in between. There could easily be a minor, though actionable, breach that is still not material or substantial.</w:t>
      </w:r>
    </w:p>
    <w:p w:rsidR="0083685D" w:rsidRDefault="0083685D" w:rsidP="0083685D">
      <w:pPr>
        <w:pStyle w:val="TGLevel1"/>
      </w:pPr>
      <w:r>
        <w:t>Moreover, the very concept of a material breach here begs the question</w:t>
      </w:r>
      <w:r w:rsidR="00A152D1">
        <w:t xml:space="preserve"> </w:t>
      </w:r>
      <w:r>
        <w:t>-</w:t>
      </w:r>
      <w:r w:rsidR="00A152D1">
        <w:t xml:space="preserve"> </w:t>
      </w:r>
      <w:r>
        <w:t xml:space="preserve">material to what? To the entire Property or to its purpose or usefulness? Or in terms of (here) the number of rooms affected </w:t>
      </w:r>
      <w:r w:rsidR="00A152D1">
        <w:t xml:space="preserve">or </w:t>
      </w:r>
      <w:r>
        <w:t xml:space="preserve">the scale of the actual as opposed to possible breaches? Materiality, once one assumes the correct context, must by its very nature be a question of fact and degree. It is usually indicative of a threshold degree of relevance, as with, for example, materiality in the International Standards on Accounting, or for the purpose of disclosure to a prudent underwriter or indeed to a court making a “without notice” order. The use of the concept of materiality in </w:t>
      </w:r>
      <w:r w:rsidR="00A152D1">
        <w:t>Clause</w:t>
      </w:r>
      <w:r>
        <w:t xml:space="preserve"> 6.2 itself is thus explicable - but less so when it comes to describing a breach of contract. To say that a breach is material is not of any real assistance in saying what the legal result of that breach should be. A material breach does not necessarily amount to a repudiatory breach. So one returns to the fact that in reality, Mears</w:t>
      </w:r>
      <w:r w:rsidR="00A152D1">
        <w:t>’</w:t>
      </w:r>
      <w:r>
        <w:t xml:space="preserve"> contention is that as a matter of construction, </w:t>
      </w:r>
      <w:r w:rsidR="00A152D1">
        <w:t>Clause</w:t>
      </w:r>
      <w:r>
        <w:t xml:space="preserve"> 6.2.1 is such that any breach thereof prevents practical completion. But for the reasons already given, I do not accept that.</w:t>
      </w:r>
    </w:p>
    <w:p w:rsidR="0083685D" w:rsidRDefault="0083685D" w:rsidP="0083685D">
      <w:pPr>
        <w:pStyle w:val="TGLevel1"/>
      </w:pPr>
      <w:r>
        <w:t xml:space="preserve">Another argument put forward by Mears is that if the breach of </w:t>
      </w:r>
      <w:r w:rsidR="00A152D1">
        <w:t>Clause</w:t>
      </w:r>
      <w:r>
        <w:t xml:space="preserve"> 6.2.1 is irremediable, then it must follow that the only outcome is to prevent practical completion. That, in my view, simply does not follow. There may in theory be a breach of </w:t>
      </w:r>
      <w:r w:rsidR="00A152D1">
        <w:t>Clause</w:t>
      </w:r>
      <w:r>
        <w:t xml:space="preserve"> 6.2 which, while not “</w:t>
      </w:r>
      <w:r w:rsidRPr="00A152D1">
        <w:rPr>
          <w:i/>
        </w:rPr>
        <w:t>de minimis</w:t>
      </w:r>
      <w:r>
        <w:t xml:space="preserve">” can be put right. A room which is too small might be capable of being put right in some cases and in any event </w:t>
      </w:r>
      <w:r w:rsidR="00A152D1">
        <w:t>Clause</w:t>
      </w:r>
      <w:r>
        <w:t xml:space="preserve"> 6.2 concerns material variations other than simply with regard to room size. For a start, </w:t>
      </w:r>
      <w:r w:rsidR="00A152D1">
        <w:t>Clause</w:t>
      </w:r>
      <w:r>
        <w:t xml:space="preserve"> 6.2.1 itself deals with variations to layout and appearance. And </w:t>
      </w:r>
      <w:r w:rsidR="00A152D1">
        <w:t>Clause</w:t>
      </w:r>
      <w:r>
        <w:t xml:space="preserve"> 6.2.2 and 6.2.3</w:t>
      </w:r>
      <w:r w:rsidR="00A152D1">
        <w:t xml:space="preserve"> deal with </w:t>
      </w:r>
      <w:r>
        <w:t>variations that are not or not only, concerned with size</w:t>
      </w:r>
      <w:r w:rsidR="00A967D3">
        <w:t>,</w:t>
      </w:r>
      <w:r>
        <w:t xml:space="preserve"> layout or appearance.</w:t>
      </w:r>
    </w:p>
    <w:p w:rsidR="0083685D" w:rsidRDefault="0083685D" w:rsidP="0083685D">
      <w:pPr>
        <w:pStyle w:val="TGLevel1"/>
      </w:pPr>
      <w:r>
        <w:t xml:space="preserve">Nor can it be said that a way around this is to say that at least as regards material variations as to size, any breach </w:t>
      </w:r>
      <w:r w:rsidRPr="00A967D3">
        <w:rPr>
          <w:u w:val="single"/>
        </w:rPr>
        <w:t>in that respect</w:t>
      </w:r>
      <w:r>
        <w:t xml:space="preserve"> must be regarded as material and substantial. That would be to treat the contractual effect of just one part of </w:t>
      </w:r>
      <w:r w:rsidR="00A152D1">
        <w:t>Clause</w:t>
      </w:r>
      <w:r>
        <w:t xml:space="preserve"> 6.2 as different </w:t>
      </w:r>
      <w:r w:rsidR="00A152D1">
        <w:t xml:space="preserve">to </w:t>
      </w:r>
      <w:r>
        <w:t>others, which cannot have been objectively intended.</w:t>
      </w:r>
    </w:p>
    <w:p w:rsidR="0083685D" w:rsidRDefault="0083685D" w:rsidP="0083685D">
      <w:pPr>
        <w:pStyle w:val="TGLevel1"/>
      </w:pPr>
      <w:r>
        <w:t xml:space="preserve">A yet further argument is that if any breach of </w:t>
      </w:r>
      <w:r w:rsidR="00A152D1">
        <w:t>Clause</w:t>
      </w:r>
      <w:r>
        <w:t xml:space="preserve"> 6.2.1 is </w:t>
      </w:r>
      <w:r w:rsidRPr="000A3576">
        <w:rPr>
          <w:u w:val="single"/>
        </w:rPr>
        <w:t>not</w:t>
      </w:r>
      <w:r>
        <w:t xml:space="preserve"> to be regarded as material and substantial and thus </w:t>
      </w:r>
      <w:r w:rsidR="000A3576">
        <w:t xml:space="preserve">as </w:t>
      </w:r>
      <w:r w:rsidR="00A57CCA">
        <w:t xml:space="preserve">having </w:t>
      </w:r>
      <w:r>
        <w:t>(according to Mears) the contractual effect of preventing the certification or proper certification of practical completion, it leads to an injustice. The injustice is said to be that in such a case the contract-breaker simply escapes the consequences of this type of breach; moreover it would be as if practical completion or the certifier thereof is legitimising a breach of contract or put more starkly, is in effect rewriting the terms of the contract.</w:t>
      </w:r>
    </w:p>
    <w:p w:rsidR="0083685D" w:rsidRDefault="0083685D" w:rsidP="0083685D">
      <w:pPr>
        <w:pStyle w:val="TGLevel1"/>
      </w:pPr>
      <w:r>
        <w:t xml:space="preserve">I do not agree. </w:t>
      </w:r>
      <w:r w:rsidR="000A3576">
        <w:t>First</w:t>
      </w:r>
      <w:r>
        <w:t xml:space="preserve">, the fact that practical completion might be certified despite a breach of </w:t>
      </w:r>
      <w:r w:rsidR="00A152D1">
        <w:t>Clause</w:t>
      </w:r>
      <w:r>
        <w:t xml:space="preserve"> 6.2.1 does not mean that Mears would have no remedy. For the reasons set out below I consider that there would be various other remedies open to Mears.</w:t>
      </w:r>
    </w:p>
    <w:p w:rsidR="0083685D" w:rsidRDefault="00B70447" w:rsidP="0083685D">
      <w:pPr>
        <w:pStyle w:val="TGLevel1"/>
      </w:pPr>
      <w:r>
        <w:t>Second</w:t>
      </w:r>
      <w:r w:rsidR="0083685D">
        <w:t>, all one is dealing with here is Mears</w:t>
      </w:r>
      <w:r w:rsidR="00A967D3">
        <w:t>’</w:t>
      </w:r>
      <w:r w:rsidR="0083685D">
        <w:t xml:space="preserve"> argument that </w:t>
      </w:r>
      <w:r w:rsidR="0083685D" w:rsidRPr="0083685D">
        <w:rPr>
          <w:u w:val="single"/>
        </w:rPr>
        <w:t>any</w:t>
      </w:r>
      <w:r w:rsidR="0083685D">
        <w:rPr>
          <w:u w:val="single"/>
        </w:rPr>
        <w:t xml:space="preserve"> </w:t>
      </w:r>
      <w:r w:rsidR="0083685D">
        <w:t xml:space="preserve">breach of </w:t>
      </w:r>
      <w:r w:rsidR="00A152D1">
        <w:t>Clause</w:t>
      </w:r>
      <w:r w:rsidR="0083685D">
        <w:t xml:space="preserve"> 6.2.1 (because it is without more material and substantial) prevents practical completion. That must be distinguished from a separate argument, which Mears sought to introduce as an alternative, which is that on any view </w:t>
      </w:r>
      <w:r w:rsidR="0083685D">
        <w:rPr>
          <w:u w:val="single"/>
        </w:rPr>
        <w:t>these breaches</w:t>
      </w:r>
      <w:r w:rsidR="0083685D">
        <w:t xml:space="preserve"> were material and substantial on the facts. But for the reasons given below, I do not think it open to Mears to advance that contention as part of this trial.</w:t>
      </w:r>
    </w:p>
    <w:p w:rsidR="0083685D" w:rsidRDefault="0083685D" w:rsidP="0083685D">
      <w:pPr>
        <w:pStyle w:val="TGLevel1"/>
      </w:pPr>
      <w:r>
        <w:t xml:space="preserve">So it does not follow that a breach or breaches of </w:t>
      </w:r>
      <w:r w:rsidR="00A152D1">
        <w:t>Clause</w:t>
      </w:r>
      <w:r>
        <w:t xml:space="preserve"> 6.2.1 can never have an impact on practical completion. It a</w:t>
      </w:r>
      <w:r w:rsidR="004528BB">
        <w:t>ll depends on the circumstances. N</w:t>
      </w:r>
      <w:r>
        <w:t xml:space="preserve">or do I see how a proper construction of </w:t>
      </w:r>
      <w:r w:rsidR="00A152D1">
        <w:t>Clause</w:t>
      </w:r>
      <w:r>
        <w:t xml:space="preserve"> 6.2.1 entails the results sought by Mears. The words to give effect to it are simply not there.</w:t>
      </w:r>
    </w:p>
    <w:p w:rsidR="0083685D" w:rsidRDefault="0083685D" w:rsidP="0083685D">
      <w:pPr>
        <w:pStyle w:val="TGLevel1"/>
      </w:pPr>
      <w:r>
        <w:t xml:space="preserve">For all of those reasons, therefore, the proposition behind </w:t>
      </w:r>
      <w:r w:rsidR="004528BB">
        <w:t>D</w:t>
      </w:r>
      <w:r>
        <w:t xml:space="preserve">eclaration </w:t>
      </w:r>
      <w:r w:rsidR="004528BB">
        <w:t>4 must be rejected and it cannot be granted.</w:t>
      </w:r>
    </w:p>
    <w:p w:rsidR="00823AE3" w:rsidRDefault="0083685D" w:rsidP="0083685D">
      <w:pPr>
        <w:pStyle w:val="Heading1"/>
      </w:pPr>
      <w:r>
        <w:t xml:space="preserve">A material and substantial breach of </w:t>
      </w:r>
      <w:r w:rsidR="00A152D1">
        <w:t>Clause</w:t>
      </w:r>
      <w:r>
        <w:t xml:space="preserve"> 6.2.1 on the facts? </w:t>
      </w:r>
    </w:p>
    <w:p w:rsidR="00BE153E" w:rsidRDefault="0083685D" w:rsidP="0083685D">
      <w:pPr>
        <w:pStyle w:val="TGLevel1"/>
      </w:pPr>
      <w:r>
        <w:t>In closing, and very much as a fallback, Mr Den</w:t>
      </w:r>
      <w:r w:rsidR="004528BB">
        <w:t>n</w:t>
      </w:r>
      <w:r>
        <w:t xml:space="preserve">ison QC </w:t>
      </w:r>
      <w:r w:rsidR="00A967D3">
        <w:t xml:space="preserve">for Mears </w:t>
      </w:r>
      <w:r>
        <w:t xml:space="preserve">submitted that even if any breach of </w:t>
      </w:r>
      <w:r w:rsidR="00A152D1">
        <w:t>Clause</w:t>
      </w:r>
      <w:r>
        <w:t xml:space="preserve"> 6.2.1</w:t>
      </w:r>
      <w:r w:rsidR="00BE153E">
        <w:t xml:space="preserve"> is not, without more, material and substantial for the purpose of barring out practical completion, on the facts of this case the breaches complained of</w:t>
      </w:r>
      <w:r w:rsidR="004528BB">
        <w:t xml:space="preserve"> (by reference to </w:t>
      </w:r>
      <w:r w:rsidR="00BE153E">
        <w:t xml:space="preserve">the extent of the deviations in the </w:t>
      </w:r>
      <w:r w:rsidR="00A967D3">
        <w:t xml:space="preserve">relevant </w:t>
      </w:r>
      <w:r w:rsidR="00BE153E">
        <w:t>rooms (or most of them) and the number of rooms affected</w:t>
      </w:r>
      <w:r w:rsidR="004528BB">
        <w:t>) mean</w:t>
      </w:r>
      <w:r w:rsidR="00BE153E">
        <w:t xml:space="preserve"> that on any view, the</w:t>
      </w:r>
      <w:r w:rsidR="004528BB">
        <w:t xml:space="preserve">y </w:t>
      </w:r>
      <w:r w:rsidR="00BE153E">
        <w:t>were material and substantial. And it is fair to say that some of the witness evidence adduced by Mears deals with those points. However, there are serious problems with permitting Mears to run that separate argument at this stage.</w:t>
      </w:r>
    </w:p>
    <w:p w:rsidR="00BE153E" w:rsidRDefault="000A3576" w:rsidP="0083685D">
      <w:pPr>
        <w:pStyle w:val="TGLevel1"/>
      </w:pPr>
      <w:r>
        <w:t>First</w:t>
      </w:r>
      <w:r w:rsidR="00BE153E">
        <w:t xml:space="preserve">, this is simply not a topic which features in any of the declarations sought. As indicated above, Declaration 4 is limited to a pure point of construction. Moreover, Ms Packman for Pickstock and Mr </w:t>
      </w:r>
      <w:r w:rsidR="004528BB">
        <w:t xml:space="preserve">Woolgar </w:t>
      </w:r>
      <w:r w:rsidR="00BE153E">
        <w:t xml:space="preserve">for </w:t>
      </w:r>
      <w:r w:rsidR="001F0506">
        <w:t>PNS</w:t>
      </w:r>
      <w:r w:rsidR="00BE153E">
        <w:t xml:space="preserve"> made it clear in their opening remarks that because this matter was not on the agenda, as it were, and notwithstanding the references to it in some of the witness statement</w:t>
      </w:r>
      <w:r w:rsidR="004528BB">
        <w:t>s</w:t>
      </w:r>
      <w:r w:rsidR="00BE153E">
        <w:t xml:space="preserve"> served by Mears, they were not going to cross-examine Mears</w:t>
      </w:r>
      <w:r w:rsidR="00E53B66">
        <w:t>’</w:t>
      </w:r>
      <w:r w:rsidR="00BE153E">
        <w:t xml:space="preserve"> witnesses on it and they did not. It was not suggested on behalf of Mears at that point that the position was otherwise. The fact that the Amended Particulars of Claim made reference to the nature and scope of the breaches does not assist. In setting out the facts, it is unsurprising that it did.</w:t>
      </w:r>
    </w:p>
    <w:p w:rsidR="00BE153E" w:rsidRDefault="004528BB" w:rsidP="0083685D">
      <w:pPr>
        <w:pStyle w:val="TGLevel1"/>
      </w:pPr>
      <w:r>
        <w:t>Second</w:t>
      </w:r>
      <w:r w:rsidR="00BE153E">
        <w:t xml:space="preserve">, it is not possible to separate out the physical aspects of the breaches from </w:t>
      </w:r>
      <w:r w:rsidR="00A768E4">
        <w:t>their commercial effect as to lett</w:t>
      </w:r>
      <w:r w:rsidR="00BE153E">
        <w:t>ability. Indeed that connection is firmly made by Mr Taylor in his witness statement; see, for example, his paragraphs 50-53 and 80-83. In fact, at an earl</w:t>
      </w:r>
      <w:r w:rsidR="00A768E4">
        <w:t>ier stage, considering that lett</w:t>
      </w:r>
      <w:r w:rsidR="00BE153E">
        <w:t>ability might be up for discussion or determination, Pickstock applied to adduce expert evidence (to the effect that rental values would be unaffected by the breaches). That application was resisted by Mears although it is fair to say that at this stage it sought to limit discussion to room size on the basis that thi</w:t>
      </w:r>
      <w:r w:rsidR="00A768E4">
        <w:t>s was a separate point from lett</w:t>
      </w:r>
      <w:r w:rsidR="00BE153E">
        <w:t>ability. For my part, I do not accept that.</w:t>
      </w:r>
      <w:r w:rsidR="00A768E4">
        <w:t xml:space="preserve"> </w:t>
      </w:r>
      <w:r w:rsidR="00BE153E">
        <w:t xml:space="preserve">It would have been inappropriate to attempt to deal with the alleged nature and extent of the breaches here without considering their impact (if any). </w:t>
      </w:r>
      <w:r w:rsidR="00A768E4">
        <w:t xml:space="preserve">Which is why </w:t>
      </w:r>
      <w:r w:rsidR="00BE153E">
        <w:t>Mr Taylor made the connection which he did.</w:t>
      </w:r>
    </w:p>
    <w:p w:rsidR="00BE153E" w:rsidRDefault="00BE153E" w:rsidP="0083685D">
      <w:pPr>
        <w:pStyle w:val="TGLevel1"/>
      </w:pPr>
      <w:r>
        <w:t>Thirdly, Mears confirmed to Mr Justice St</w:t>
      </w:r>
      <w:r w:rsidR="00A768E4">
        <w:t>uart</w:t>
      </w:r>
      <w:r>
        <w:t>-Smith at the hearing on 6 September that it was confining itself to the declarations sought and while the declarations sought were subsequently amended (into their current form) on 3 October, they did not intrude matters of fact into Declaration 4.</w:t>
      </w:r>
    </w:p>
    <w:p w:rsidR="00042807" w:rsidRDefault="00BE153E" w:rsidP="0083685D">
      <w:pPr>
        <w:pStyle w:val="TGLevel1"/>
      </w:pPr>
      <w:r>
        <w:t xml:space="preserve">Fourthly, </w:t>
      </w:r>
      <w:r w:rsidR="00042807">
        <w:t>at the application heard by Mr Justice Fraser on 1 November 2018 in connection with expert evidence, and in dismissing it, he emphasised the nature of the exercise to take place at this trial he said. He said this:</w:t>
      </w:r>
    </w:p>
    <w:p w:rsidR="00A768E4" w:rsidRPr="00A768E4" w:rsidRDefault="00A768E4" w:rsidP="00A768E4">
      <w:pPr>
        <w:pStyle w:val="Style7"/>
        <w:widowControl/>
        <w:spacing w:line="250" w:lineRule="exact"/>
        <w:ind w:left="1436"/>
        <w:rPr>
          <w:rStyle w:val="FontStyle18"/>
          <w:i w:val="0"/>
          <w:sz w:val="20"/>
          <w:szCs w:val="20"/>
        </w:rPr>
      </w:pPr>
      <w:r w:rsidRPr="00A768E4">
        <w:rPr>
          <w:rStyle w:val="FontStyle18"/>
          <w:i w:val="0"/>
          <w:sz w:val="20"/>
          <w:szCs w:val="20"/>
        </w:rPr>
        <w:t>“It seems to me that this case, notwithstanding the huge amount of witness statements that have been served, remains one fundamentally of construction of the agreements. Miss Packman explains, as she puts it, that there is evidence already available, which is in play on behalf of the claimant, from Mr Taylor where he effectively gives his opinion as to the impact of the slightly smaller room sizes upon the rental value, or the prospects for rental of this accommodation with slightly smaller rooms (as he sees it) than those specified. In fact, in paragraph 80 of Mr Taylor's statement he even goes so far as to say that, in his view, these rooms or clusters are so unattractive that they would not be able to be rented out at all.</w:t>
      </w:r>
    </w:p>
    <w:p w:rsidR="00A768E4" w:rsidRDefault="00A768E4" w:rsidP="00A768E4">
      <w:pPr>
        <w:pStyle w:val="Style7"/>
        <w:widowControl/>
        <w:spacing w:before="250" w:line="250" w:lineRule="exact"/>
        <w:ind w:left="1436"/>
      </w:pPr>
      <w:r w:rsidRPr="00A768E4">
        <w:rPr>
          <w:rStyle w:val="FontStyle18"/>
          <w:i w:val="0"/>
          <w:sz w:val="20"/>
          <w:szCs w:val="20"/>
        </w:rPr>
        <w:t xml:space="preserve">How that goes to the issues in the case is, with respect, currently beyond me. It will be a matter for the trial judge as to what happens about that evidence by Mr Taylor. If it is opinion, it is not admissible because no permission has been given for it. The parties have got some time between now and then to decide how they are going to approach this, but on the basis of the issues on the pleadings it does not seem to me to be of primary relevance at all what the subjective view of Mr Taylor is about the prospects of this building. The agreements between the parties either allow or permit the independent certifier to approach his or its certifying function in a particular way or they do not. The claimant is either entitled to the declarations it </w:t>
      </w:r>
      <w:r w:rsidR="00DD5C5C">
        <w:rPr>
          <w:rStyle w:val="FontStyle18"/>
          <w:i w:val="0"/>
          <w:sz w:val="20"/>
          <w:szCs w:val="20"/>
        </w:rPr>
        <w:t>t</w:t>
      </w:r>
      <w:r w:rsidRPr="00A768E4">
        <w:rPr>
          <w:rStyle w:val="FontStyle18"/>
          <w:i w:val="0"/>
          <w:sz w:val="20"/>
          <w:szCs w:val="20"/>
        </w:rPr>
        <w:t>hat it seeks or it is not, and Mr Taylor's subjective view of the prospects of the commerciality of the overall transactions are really, in my judgment, neither here nor there. I am not making any specific findings about the meaning of the provisions, but I do not see how the evidence regarding rental prospects is of primary relevance."</w:t>
      </w:r>
    </w:p>
    <w:p w:rsidR="00042807" w:rsidRDefault="00A768E4" w:rsidP="00A768E4">
      <w:pPr>
        <w:pStyle w:val="TGLevel1"/>
      </w:pPr>
      <w:r>
        <w:t>I</w:t>
      </w:r>
      <w:r w:rsidR="00042807">
        <w:t xml:space="preserve">n all those circumstances, it would not be right or just to permit Mears now to run this alternative argument based on the facts. Indeed, at the end of the evidence on </w:t>
      </w:r>
      <w:r>
        <w:t>D</w:t>
      </w:r>
      <w:r w:rsidR="00042807">
        <w:t>ay 4 when considering arrangements for closing speeches, once it became clear that Mears was seeking to run this alternative argument I pointed out that since the other parties objected it would require an application to amend. No formal application was in fact made. Towards</w:t>
      </w:r>
      <w:r>
        <w:t xml:space="preserve"> the end of his submissions on D</w:t>
      </w:r>
      <w:r w:rsidR="00042807">
        <w:t>ay 5, Mr Den</w:t>
      </w:r>
      <w:r>
        <w:t>n</w:t>
      </w:r>
      <w:r w:rsidR="00042807">
        <w:t>ison QC was disposed to accept that perhaps the real thrust of this alternative argument was no more than to rebut a proposition which had been advanced in the statements of case by Pickstock, that the matters complained of were “</w:t>
      </w:r>
      <w:r w:rsidR="00042807" w:rsidRPr="00A768E4">
        <w:rPr>
          <w:i/>
        </w:rPr>
        <w:t>de minimis</w:t>
      </w:r>
      <w:r w:rsidR="00042807">
        <w:t>”. However, for the reasons already given, even if they were not “</w:t>
      </w:r>
      <w:r w:rsidR="00042807" w:rsidRPr="00A768E4">
        <w:rPr>
          <w:i/>
        </w:rPr>
        <w:t>de minimis</w:t>
      </w:r>
      <w:r w:rsidR="00042807">
        <w:t>” (as I am minded to think) that does not get Mears very far because on its own case</w:t>
      </w:r>
      <w:r w:rsidR="00A967D3">
        <w:t>,</w:t>
      </w:r>
      <w:r w:rsidR="00042807">
        <w:t xml:space="preserve"> it needs to go further and establish that they were both material and substantial.</w:t>
      </w:r>
    </w:p>
    <w:p w:rsidR="0083685D" w:rsidRDefault="00042807" w:rsidP="0083685D">
      <w:pPr>
        <w:pStyle w:val="TGLevel1"/>
      </w:pPr>
      <w:r>
        <w:t>Accordingly I am not going to deal with this alternative submission on behalf of Mears.</w:t>
      </w:r>
      <w:r w:rsidR="00A768E4">
        <w:t xml:space="preserve"> </w:t>
      </w:r>
      <w:r>
        <w:t xml:space="preserve">That does not mean that I am of the view that the nature scale and impact of the breaches here are </w:t>
      </w:r>
      <w:r w:rsidRPr="00A768E4">
        <w:rPr>
          <w:u w:val="single"/>
        </w:rPr>
        <w:t>not</w:t>
      </w:r>
      <w:r>
        <w:t xml:space="preserve"> material or substantial. Rather this is not a question which arises in this trial.</w:t>
      </w:r>
    </w:p>
    <w:p w:rsidR="00042807" w:rsidRDefault="000E2D0F" w:rsidP="000E2D0F">
      <w:pPr>
        <w:pStyle w:val="Heading1"/>
      </w:pPr>
      <w:r>
        <w:t>Other remedies open to Mears in relation to the matters complained of</w:t>
      </w:r>
    </w:p>
    <w:p w:rsidR="008C74E9" w:rsidRDefault="008C74E9" w:rsidP="0083685D">
      <w:pPr>
        <w:pStyle w:val="TGLevel1"/>
      </w:pPr>
      <w:r>
        <w:t xml:space="preserve">I now turn to </w:t>
      </w:r>
      <w:r w:rsidR="00A152D1">
        <w:t>Clause</w:t>
      </w:r>
      <w:r>
        <w:t xml:space="preserve"> 15.7 and the other remedies.</w:t>
      </w:r>
    </w:p>
    <w:p w:rsidR="008C74E9" w:rsidRDefault="008C74E9" w:rsidP="0083685D">
      <w:pPr>
        <w:pStyle w:val="TGLevel1"/>
      </w:pPr>
      <w:r>
        <w:t xml:space="preserve">It is right that </w:t>
      </w:r>
      <w:r w:rsidR="00A152D1">
        <w:t>Clause</w:t>
      </w:r>
      <w:r>
        <w:t xml:space="preserve"> 15.7 means that discrete claims for breach of contract under the AFL (including </w:t>
      </w:r>
      <w:r w:rsidR="00A152D1">
        <w:t>Clause</w:t>
      </w:r>
      <w:r>
        <w:t xml:space="preserve"> 6.2.1</w:t>
      </w:r>
      <w:r w:rsidR="00A768E4">
        <w:t>)</w:t>
      </w:r>
      <w:r>
        <w:t xml:space="preserve"> can no longer be brought after practical completion. And I agree with Ms Packman that this suggests, perhaps, that absent </w:t>
      </w:r>
      <w:r w:rsidR="00A152D1">
        <w:t>Clause</w:t>
      </w:r>
      <w:r>
        <w:t xml:space="preserve"> 15.7, one might have been able to claim damages for breach of some or all of the AFL’</w:t>
      </w:r>
      <w:r w:rsidR="00DD5C5C">
        <w:t>s</w:t>
      </w:r>
      <w:r>
        <w:t xml:space="preserve"> provisions even after completion.</w:t>
      </w:r>
    </w:p>
    <w:p w:rsidR="008C74E9" w:rsidRDefault="008C74E9" w:rsidP="0083685D">
      <w:pPr>
        <w:pStyle w:val="TGLevel1"/>
      </w:pPr>
      <w:r>
        <w:t>But this does not mean that after practical completion, Mears has no protection.</w:t>
      </w:r>
      <w:r w:rsidR="00A768E4">
        <w:t xml:space="preserve"> </w:t>
      </w:r>
      <w:r w:rsidR="000A3576">
        <w:t>First</w:t>
      </w:r>
      <w:r>
        <w:t xml:space="preserve">, Mr </w:t>
      </w:r>
      <w:r w:rsidR="00A768E4">
        <w:t xml:space="preserve">Woolgar </w:t>
      </w:r>
      <w:r>
        <w:t xml:space="preserve">accepted that if there </w:t>
      </w:r>
      <w:r w:rsidR="00A967D3">
        <w:t>are</w:t>
      </w:r>
      <w:r>
        <w:t xml:space="preserve"> in truth and on the facts</w:t>
      </w:r>
      <w:r w:rsidR="00A768E4">
        <w:t>,</w:t>
      </w:r>
      <w:r>
        <w:t xml:space="preserve"> breaches of </w:t>
      </w:r>
      <w:r w:rsidR="00A152D1">
        <w:t>Clause</w:t>
      </w:r>
      <w:r>
        <w:t xml:space="preserve"> 6.2.1 sufficient to say that practical completion should not have been certified then the whole question of practical completion (even if purportedly certified and even after the lifting of an injunction) could be looked at again by the </w:t>
      </w:r>
      <w:r w:rsidR="00A768E4">
        <w:t>C</w:t>
      </w:r>
      <w:r>
        <w:t>ourt. This is because the parties have all accepted for the purposes of these proceedings that the practical completion certificate is not final</w:t>
      </w:r>
      <w:r w:rsidR="00A768E4">
        <w:t xml:space="preserve"> or</w:t>
      </w:r>
      <w:r>
        <w:t xml:space="preserve"> conclusive. And if a </w:t>
      </w:r>
      <w:r w:rsidR="00A768E4">
        <w:t>C</w:t>
      </w:r>
      <w:r>
        <w:t xml:space="preserve">ourt took the view that practical completion had not been validly certified, then there could well be consequences for entry into the lease itself or possibly an ability to rescind  it since the underlying trigger (practical completion) had now gone. See generally Mr </w:t>
      </w:r>
      <w:r w:rsidR="00A768E4">
        <w:t xml:space="preserve">Woolgar’s </w:t>
      </w:r>
      <w:r w:rsidR="00E53B66">
        <w:t xml:space="preserve">opening </w:t>
      </w:r>
      <w:r>
        <w:t xml:space="preserve">submissions at 2/67-73. There are a number of “ifs and buts” in all of this but fundamentally, I think that Mr </w:t>
      </w:r>
      <w:r w:rsidR="00A768E4">
        <w:t>Woolgar</w:t>
      </w:r>
      <w:r>
        <w:t xml:space="preserve">’s point is a fair one. And </w:t>
      </w:r>
      <w:r w:rsidR="001F0506">
        <w:t>Pickstock’s</w:t>
      </w:r>
      <w:r>
        <w:t xml:space="preserve"> position was the same as to the nature of the certification</w:t>
      </w:r>
      <w:r w:rsidR="00A768E4">
        <w:t xml:space="preserve"> </w:t>
      </w:r>
      <w:r>
        <w:t>-</w:t>
      </w:r>
      <w:r w:rsidR="00A768E4">
        <w:t xml:space="preserve"> </w:t>
      </w:r>
      <w:r>
        <w:t>see Day 1/34 to 35. And obviously Mears takes the same view.</w:t>
      </w:r>
      <w:r w:rsidR="00E74B92">
        <w:t xml:space="preserve"> (It is for that reason that it was not necessary for me to consider </w:t>
      </w:r>
      <w:r w:rsidR="009B5217">
        <w:t xml:space="preserve">in this trial, </w:t>
      </w:r>
      <w:r w:rsidR="00E74B92">
        <w:t>the way in which Costplan came to the view that it could now certify practical completion</w:t>
      </w:r>
      <w:r w:rsidR="009B5217">
        <w:t xml:space="preserve">, the reasonableness or rationality thereof, or matters of that kind. </w:t>
      </w:r>
      <w:r w:rsidR="00E74B92">
        <w:t xml:space="preserve">See also paragraph </w:t>
      </w:r>
      <w:r w:rsidR="009B5217">
        <w:t>61 below.)</w:t>
      </w:r>
    </w:p>
    <w:p w:rsidR="00A768E4" w:rsidRDefault="008C74E9" w:rsidP="00AC15D6">
      <w:pPr>
        <w:pStyle w:val="TGLevel1"/>
        <w:spacing w:after="0"/>
      </w:pPr>
      <w:r>
        <w:t>Secondly and as to the terms of the putative lease itself</w:t>
      </w:r>
      <w:r w:rsidR="00A768E4">
        <w:t xml:space="preserve"> </w:t>
      </w:r>
      <w:r>
        <w:t xml:space="preserve">Clause 23.1 then </w:t>
      </w:r>
      <w:r w:rsidR="00A768E4">
        <w:t xml:space="preserve">states: </w:t>
      </w:r>
    </w:p>
    <w:p w:rsidR="00AC15D6" w:rsidRDefault="00AC15D6" w:rsidP="00AC15D6">
      <w:pPr>
        <w:pStyle w:val="TGLevel1"/>
        <w:numPr>
          <w:ilvl w:val="0"/>
          <w:numId w:val="0"/>
        </w:numPr>
        <w:spacing w:after="0"/>
        <w:ind w:left="1440"/>
        <w:rPr>
          <w:sz w:val="20"/>
        </w:rPr>
      </w:pPr>
      <w:r>
        <w:rPr>
          <w:sz w:val="20"/>
        </w:rPr>
        <w:t xml:space="preserve">“The Landlord covenants with the Tenant to…(c) promptly carry out any repairs arising from an Inherent Defect at its own cost:” </w:t>
      </w:r>
    </w:p>
    <w:p w:rsidR="00AC15D6" w:rsidRDefault="00AC15D6" w:rsidP="00AC15D6">
      <w:pPr>
        <w:pStyle w:val="TGLevel1"/>
        <w:spacing w:after="0"/>
      </w:pPr>
      <w:r>
        <w:t>An Inherent Defect is:</w:t>
      </w:r>
    </w:p>
    <w:p w:rsidR="00AC15D6" w:rsidRPr="00AC15D6" w:rsidRDefault="00AC15D6" w:rsidP="00AC15D6">
      <w:pPr>
        <w:pStyle w:val="TGLevel1"/>
        <w:numPr>
          <w:ilvl w:val="0"/>
          <w:numId w:val="0"/>
        </w:numPr>
        <w:spacing w:after="0"/>
        <w:ind w:left="1440"/>
        <w:rPr>
          <w:sz w:val="20"/>
          <w:szCs w:val="20"/>
        </w:rPr>
      </w:pPr>
      <w:r>
        <w:rPr>
          <w:sz w:val="20"/>
          <w:szCs w:val="20"/>
        </w:rPr>
        <w:t>“any latent or inherent defect in the Property… Which is attributable to defective design workmanship or materials and/or defective supervision of the contract ..”</w:t>
      </w:r>
    </w:p>
    <w:p w:rsidR="008C74E9" w:rsidRDefault="00A768E4" w:rsidP="0083685D">
      <w:pPr>
        <w:pStyle w:val="TGLevel1"/>
      </w:pPr>
      <w:r>
        <w:t>W</w:t>
      </w:r>
      <w:r w:rsidR="008C74E9">
        <w:t xml:space="preserve">hile </w:t>
      </w:r>
      <w:r>
        <w:t xml:space="preserve">this </w:t>
      </w:r>
      <w:r w:rsidR="008C74E9">
        <w:t>deals with inherent defects and while that expression could cov</w:t>
      </w:r>
      <w:r w:rsidR="00AC15D6">
        <w:t xml:space="preserve">er the reduction in room size, it is not wholly clear that </w:t>
      </w:r>
      <w:r w:rsidR="008C74E9">
        <w:t>remedying those defects could constitute “repair” so that a failure to repair them would sound in damages</w:t>
      </w:r>
      <w:r w:rsidR="00AC15D6">
        <w:t>, though I am far from making any finding to that effect</w:t>
      </w:r>
      <w:r w:rsidR="008C74E9">
        <w:t>. To that extent, I</w:t>
      </w:r>
      <w:r>
        <w:t xml:space="preserve"> am </w:t>
      </w:r>
      <w:r w:rsidR="00AC15D6">
        <w:t xml:space="preserve">simply </w:t>
      </w:r>
      <w:r w:rsidR="008C74E9">
        <w:t xml:space="preserve">not sure of the efficacy of </w:t>
      </w:r>
      <w:r>
        <w:t xml:space="preserve">this particular </w:t>
      </w:r>
      <w:r w:rsidR="008C74E9">
        <w:t>remedy for Mears in this case.</w:t>
      </w:r>
    </w:p>
    <w:p w:rsidR="008C74E9" w:rsidRDefault="008C74E9" w:rsidP="0083685D">
      <w:pPr>
        <w:pStyle w:val="TGLevel1"/>
      </w:pPr>
      <w:r>
        <w:t>Thirdly, however, there is the Pickstock Warranty. Clause 3</w:t>
      </w:r>
      <w:r w:rsidR="00401178">
        <w:t xml:space="preserve">, </w:t>
      </w:r>
      <w:r>
        <w:t>thereof reads:</w:t>
      </w:r>
    </w:p>
    <w:p w:rsidR="00401178" w:rsidRPr="00401178" w:rsidRDefault="00401178" w:rsidP="00401178">
      <w:pPr>
        <w:pStyle w:val="TGLevel1"/>
        <w:numPr>
          <w:ilvl w:val="0"/>
          <w:numId w:val="0"/>
        </w:numPr>
        <w:spacing w:after="0"/>
        <w:ind w:left="709"/>
        <w:rPr>
          <w:b/>
          <w:sz w:val="20"/>
          <w:szCs w:val="20"/>
        </w:rPr>
      </w:pPr>
      <w:r>
        <w:tab/>
      </w:r>
      <w:r>
        <w:tab/>
      </w:r>
      <w:r>
        <w:rPr>
          <w:sz w:val="20"/>
          <w:szCs w:val="20"/>
        </w:rPr>
        <w:t>“</w:t>
      </w:r>
      <w:r w:rsidRPr="00401178">
        <w:rPr>
          <w:b/>
          <w:sz w:val="20"/>
          <w:szCs w:val="20"/>
        </w:rPr>
        <w:t>CONTRACTOR’S DUTIES UNDER THE CONTRACT</w:t>
      </w:r>
    </w:p>
    <w:p w:rsidR="00401178" w:rsidRDefault="00401178" w:rsidP="00401178">
      <w:pPr>
        <w:pStyle w:val="TGLevel1"/>
        <w:numPr>
          <w:ilvl w:val="0"/>
          <w:numId w:val="0"/>
        </w:numPr>
        <w:spacing w:after="0"/>
        <w:ind w:left="1440"/>
        <w:rPr>
          <w:sz w:val="20"/>
          <w:szCs w:val="20"/>
        </w:rPr>
      </w:pPr>
      <w:r>
        <w:rPr>
          <w:sz w:val="20"/>
          <w:szCs w:val="20"/>
        </w:rPr>
        <w:t>The Contractor warrants to the Beneficiary that it has performed and shall continue to perform its duties under the Contract in accordance with the Contract and that it has exercised and shall continue to exercise reasonable skill and care… In relation to the following…</w:t>
      </w:r>
    </w:p>
    <w:p w:rsidR="00401178" w:rsidRDefault="00401178" w:rsidP="00401178">
      <w:pPr>
        <w:pStyle w:val="TGLevel1"/>
        <w:numPr>
          <w:ilvl w:val="0"/>
          <w:numId w:val="0"/>
        </w:numPr>
        <w:spacing w:after="0"/>
        <w:ind w:left="1440"/>
        <w:rPr>
          <w:sz w:val="20"/>
          <w:szCs w:val="20"/>
        </w:rPr>
      </w:pPr>
      <w:r>
        <w:rPr>
          <w:sz w:val="20"/>
          <w:szCs w:val="20"/>
        </w:rPr>
        <w:t>3.1</w:t>
      </w:r>
      <w:r>
        <w:rPr>
          <w:sz w:val="20"/>
          <w:szCs w:val="20"/>
        </w:rPr>
        <w:tab/>
        <w:t>the design of the Works…</w:t>
      </w:r>
    </w:p>
    <w:p w:rsidR="00401178" w:rsidRDefault="00401178" w:rsidP="00401178">
      <w:pPr>
        <w:pStyle w:val="TGLevel1"/>
        <w:numPr>
          <w:ilvl w:val="0"/>
          <w:numId w:val="0"/>
        </w:numPr>
        <w:spacing w:after="0"/>
        <w:ind w:left="1440"/>
        <w:rPr>
          <w:sz w:val="20"/>
          <w:szCs w:val="20"/>
        </w:rPr>
      </w:pPr>
      <w:r>
        <w:rPr>
          <w:sz w:val="20"/>
          <w:szCs w:val="20"/>
        </w:rPr>
        <w:t>3.3</w:t>
      </w:r>
      <w:r>
        <w:rPr>
          <w:sz w:val="20"/>
          <w:szCs w:val="20"/>
        </w:rPr>
        <w:tab/>
        <w:t>the satisfaction of any performance requirement or specification of or for the Works.”</w:t>
      </w:r>
      <w:r>
        <w:rPr>
          <w:sz w:val="20"/>
          <w:szCs w:val="20"/>
        </w:rPr>
        <w:tab/>
      </w:r>
    </w:p>
    <w:p w:rsidR="00991B50" w:rsidRDefault="00513433" w:rsidP="0083685D">
      <w:pPr>
        <w:pStyle w:val="TGLevel1"/>
      </w:pPr>
      <w:r>
        <w:t>The</w:t>
      </w:r>
      <w:r w:rsidR="008C74E9">
        <w:t xml:space="preserve"> </w:t>
      </w:r>
      <w:r>
        <w:t>“</w:t>
      </w:r>
      <w:r w:rsidR="008C74E9">
        <w:t>Contract</w:t>
      </w:r>
      <w:r w:rsidR="00A768E4">
        <w:t>”</w:t>
      </w:r>
      <w:r w:rsidR="008C74E9">
        <w:t xml:space="preserve"> there refers to the Building Contract but </w:t>
      </w:r>
      <w:r w:rsidR="00A152D1">
        <w:t>Clause</w:t>
      </w:r>
      <w:r w:rsidR="00A57CCA">
        <w:t>s</w:t>
      </w:r>
      <w:r w:rsidR="008C74E9">
        <w:t xml:space="preserve"> 2</w:t>
      </w:r>
      <w:r w:rsidR="00A57CCA">
        <w:t>.17B.2 and 2.17B.3 then provide</w:t>
      </w:r>
      <w:r w:rsidR="008C74E9">
        <w:t xml:space="preserve"> that Pickstock must comply with</w:t>
      </w:r>
      <w:r w:rsidR="00991B50">
        <w:t xml:space="preserve"> PNS’s obligations under the AFL (which is a “</w:t>
      </w:r>
      <w:r w:rsidR="00A967D3">
        <w:t xml:space="preserve">Third </w:t>
      </w:r>
      <w:r w:rsidR="00991B50">
        <w:t xml:space="preserve">Party Agreement” for the purpose of those </w:t>
      </w:r>
      <w:r w:rsidR="00A152D1">
        <w:t>Clause</w:t>
      </w:r>
      <w:r w:rsidR="00991B50">
        <w:t>s). Accordingly, and as Pickstock has stated in paragraph 31.3 of its written closing submissions, Mears has a potential remedy against it</w:t>
      </w:r>
      <w:r w:rsidR="00A768E4">
        <w:t xml:space="preserve"> under the Pickstock Warranty where there </w:t>
      </w:r>
      <w:r w:rsidR="00991B50">
        <w:t xml:space="preserve">has been a breach of </w:t>
      </w:r>
      <w:r w:rsidR="00A152D1">
        <w:t>Clause</w:t>
      </w:r>
      <w:r w:rsidR="00991B50">
        <w:t xml:space="preserve"> 6.2.1 of the AFL. Indeed, and although this is not before me for determination, if there is such a breach of </w:t>
      </w:r>
      <w:r w:rsidR="00A152D1">
        <w:t>Clause</w:t>
      </w:r>
      <w:r w:rsidR="00991B50">
        <w:t xml:space="preserve"> 6.2.1, it is hard to see how Pickstock would not be liable under the Pickstock </w:t>
      </w:r>
      <w:r w:rsidR="00A768E4">
        <w:t>W</w:t>
      </w:r>
      <w:r w:rsidR="00991B50">
        <w:t>arranty</w:t>
      </w:r>
      <w:r w:rsidR="00A768E4">
        <w:t xml:space="preserve">. At the very least </w:t>
      </w:r>
      <w:r w:rsidR="00991B50">
        <w:t>this seems to be a realistic alternative remedy.</w:t>
      </w:r>
    </w:p>
    <w:p w:rsidR="00991B50" w:rsidRDefault="00991B50" w:rsidP="0083685D">
      <w:pPr>
        <w:pStyle w:val="TGLevel1"/>
      </w:pPr>
      <w:r>
        <w:t xml:space="preserve">Another remedy is under the Costplan Warranty. Here, Costplan’s position at trial needs some further comment. It </w:t>
      </w:r>
      <w:r w:rsidR="00A768E4">
        <w:t>has</w:t>
      </w:r>
      <w:r>
        <w:t xml:space="preserve"> taken an essentially neutral stance although, as noted, it has issued in draft the certificate of practical completion which it says it would have issued were it not for the injunction. At paragraph (9) of its Closing submissions, it said this</w:t>
      </w:r>
      <w:r w:rsidR="00A967D3">
        <w:t>:</w:t>
      </w:r>
    </w:p>
    <w:p w:rsidR="00A967D3" w:rsidRPr="00A967D3" w:rsidRDefault="00A967D3" w:rsidP="00A967D3">
      <w:pPr>
        <w:pStyle w:val="TGLevel1"/>
        <w:numPr>
          <w:ilvl w:val="0"/>
          <w:numId w:val="0"/>
        </w:numPr>
        <w:ind w:left="1440"/>
        <w:rPr>
          <w:sz w:val="20"/>
          <w:szCs w:val="20"/>
        </w:rPr>
      </w:pPr>
      <w:r>
        <w:rPr>
          <w:sz w:val="20"/>
          <w:szCs w:val="20"/>
        </w:rPr>
        <w:t>“If Mears fails to obtain the declarations it seeks, then the Court will have arrived at the view that there was, contrary to Mears</w:t>
      </w:r>
      <w:r w:rsidR="00A57CCA">
        <w:rPr>
          <w:sz w:val="20"/>
          <w:szCs w:val="20"/>
        </w:rPr>
        <w:t>’</w:t>
      </w:r>
      <w:r>
        <w:rPr>
          <w:sz w:val="20"/>
          <w:szCs w:val="20"/>
        </w:rPr>
        <w:t xml:space="preserve"> pleaded case, no reason why the sizes of the as-built rooms at the Property, that are the subject of this action, should have prevented Costplan from issuing the draft CoPC on or before 18 September 2018. As noted above, the draft CoPC will then formally stand as issued.”</w:t>
      </w:r>
    </w:p>
    <w:p w:rsidR="00B1098D" w:rsidRDefault="00991B50" w:rsidP="0083685D">
      <w:pPr>
        <w:pStyle w:val="TGLevel1"/>
      </w:pPr>
      <w:r>
        <w:t xml:space="preserve">However, that is not </w:t>
      </w:r>
      <w:r w:rsidR="00A768E4">
        <w:t>correct. A</w:t>
      </w:r>
      <w:r>
        <w:t xml:space="preserve">s I have already indicated, the only issue concerning practical completion is the point of construction to the effect that any breach of </w:t>
      </w:r>
      <w:r w:rsidR="00A152D1">
        <w:t>Clause</w:t>
      </w:r>
      <w:r>
        <w:t xml:space="preserve"> 6.2.1 must oust practical completion. What is not before me is the separate question as to whether on the facts, the particular breaches relied upon here would have or should have ruled it out. To that extent, on the question of room sizes, this is still an open question. How Mears might try and resolve it is another matter. Equally, and as Costplan itself has pointed out in paragraph (11) </w:t>
      </w:r>
      <w:r w:rsidR="000C057D">
        <w:t xml:space="preserve">of its closing submissions, </w:t>
      </w:r>
      <w:r>
        <w:t xml:space="preserve">there are arguments made by Mears based on further sets of alleged defects which it says </w:t>
      </w:r>
      <w:r w:rsidRPr="009E72A0">
        <w:rPr>
          <w:u w:val="single"/>
        </w:rPr>
        <w:t>also</w:t>
      </w:r>
      <w:r>
        <w:t xml:space="preserve"> render invalid any certificate of practical completion. Again, these are not before me.</w:t>
      </w:r>
    </w:p>
    <w:p w:rsidR="00B1098D" w:rsidRDefault="00B1098D" w:rsidP="0083685D">
      <w:pPr>
        <w:pStyle w:val="TGLevel1"/>
      </w:pPr>
      <w:r>
        <w:t>Furthermore, and in respect of practical completion generally, Costplan has also accepted that any certificate issued by it is not issued in the capacity of expert or arbitrator so that it is final</w:t>
      </w:r>
      <w:r w:rsidR="009E72A0">
        <w:t>,</w:t>
      </w:r>
      <w:r>
        <w:t xml:space="preserve"> conclusive and not capable of challenge. Costplan therefore accept</w:t>
      </w:r>
      <w:r w:rsidR="009E72A0">
        <w:t>s</w:t>
      </w:r>
      <w:r>
        <w:t xml:space="preserve"> that the court can review the question of whether the certificate could in the circumstances be validly granted. See paragraph (6) of its closing submissions.</w:t>
      </w:r>
      <w:r w:rsidR="009E72A0">
        <w:t xml:space="preserve"> </w:t>
      </w:r>
      <w:r>
        <w:t>Accordingly, the determination of the declaratory relief which I am asked to make in this trial is not or is not necessarily the end of the road.</w:t>
      </w:r>
    </w:p>
    <w:p w:rsidR="00B1098D" w:rsidRDefault="00B1098D" w:rsidP="0083685D">
      <w:pPr>
        <w:pStyle w:val="TGLevel1"/>
      </w:pPr>
      <w:r>
        <w:t xml:space="preserve">Against that background, I need </w:t>
      </w:r>
      <w:r w:rsidR="000C057D">
        <w:t xml:space="preserve">also </w:t>
      </w:r>
      <w:r>
        <w:t xml:space="preserve">to consider, as part of the construction argument, the availability of a remedy under the Costplan Warranty. Under the Costplan Appointment, it warranted as follows in </w:t>
      </w:r>
      <w:r w:rsidR="00A152D1">
        <w:t>Clause</w:t>
      </w:r>
      <w:r>
        <w:t xml:space="preserve"> 2.4:</w:t>
      </w:r>
    </w:p>
    <w:p w:rsidR="00513433" w:rsidRPr="00513433" w:rsidRDefault="00513433" w:rsidP="00513433">
      <w:pPr>
        <w:pStyle w:val="TGLevel1"/>
        <w:numPr>
          <w:ilvl w:val="0"/>
          <w:numId w:val="0"/>
        </w:numPr>
        <w:ind w:left="1440"/>
        <w:rPr>
          <w:sz w:val="20"/>
          <w:szCs w:val="20"/>
        </w:rPr>
      </w:pPr>
      <w:r>
        <w:rPr>
          <w:sz w:val="20"/>
          <w:szCs w:val="20"/>
        </w:rPr>
        <w:t>“The Consultant warrants that it has exercised and shall continue to exercise in the performance of the Services all the reasonable skill and care as is to be expected of a properly qualified and competent person in the Consultants Profession experienced in carrying out work such as the Services in relation to developments of similar scope, size, nature, time scale and complexity and on a similar site or at a similar location to the Development”</w:t>
      </w:r>
    </w:p>
    <w:p w:rsidR="00513433" w:rsidRDefault="009E72A0" w:rsidP="0083685D">
      <w:pPr>
        <w:pStyle w:val="TGLevel1"/>
      </w:pPr>
      <w:r>
        <w:t>T</w:t>
      </w:r>
      <w:r w:rsidR="00B1098D">
        <w:t xml:space="preserve">hose services </w:t>
      </w:r>
      <w:r w:rsidR="00513433">
        <w:t xml:space="preserve">are extensive and they are set out </w:t>
      </w:r>
      <w:r w:rsidR="00B1098D">
        <w:t>in Schedule 1 to the Costplan appointment</w:t>
      </w:r>
      <w:r w:rsidR="00513433">
        <w:t xml:space="preserve">. </w:t>
      </w:r>
    </w:p>
    <w:p w:rsidR="00513433" w:rsidRDefault="00513433" w:rsidP="0083685D">
      <w:pPr>
        <w:pStyle w:val="TGLevel1"/>
      </w:pPr>
      <w:r>
        <w:t>Further, by Clause 2.5 thereof, Costplan was obliged to carry out its duties under obligation so as to enable the Employer to fulfil its obligations under the AFL (a “Relevant Document”) for these purposes and act in such a way that no omission or default on its part would cause or contribute to a breach by the Employer of its obligations under the AFL.</w:t>
      </w:r>
    </w:p>
    <w:p w:rsidR="00B1098D" w:rsidRDefault="00513433" w:rsidP="0083685D">
      <w:pPr>
        <w:pStyle w:val="TGLevel1"/>
      </w:pPr>
      <w:r>
        <w:t xml:space="preserve">As for the </w:t>
      </w:r>
      <w:r w:rsidR="00B1098D">
        <w:t xml:space="preserve">Costplan </w:t>
      </w:r>
      <w:r>
        <w:t>W</w:t>
      </w:r>
      <w:r w:rsidR="00B1098D">
        <w:t xml:space="preserve">arranty, </w:t>
      </w:r>
      <w:r>
        <w:t xml:space="preserve">this </w:t>
      </w:r>
      <w:r w:rsidR="00B1098D">
        <w:t xml:space="preserve">provides by </w:t>
      </w:r>
      <w:r w:rsidR="00A152D1">
        <w:t>Clause</w:t>
      </w:r>
      <w:r w:rsidR="00B1098D">
        <w:t xml:space="preserve"> 3</w:t>
      </w:r>
      <w:r>
        <w:t>:</w:t>
      </w:r>
    </w:p>
    <w:p w:rsidR="00513433" w:rsidRPr="00513433" w:rsidRDefault="00513433" w:rsidP="00513433">
      <w:pPr>
        <w:pStyle w:val="TGLevel1"/>
        <w:numPr>
          <w:ilvl w:val="0"/>
          <w:numId w:val="0"/>
        </w:numPr>
        <w:ind w:left="1440"/>
        <w:rPr>
          <w:sz w:val="20"/>
          <w:szCs w:val="20"/>
        </w:rPr>
      </w:pPr>
      <w:r>
        <w:rPr>
          <w:sz w:val="20"/>
          <w:szCs w:val="20"/>
        </w:rPr>
        <w:t>“The Consultant warrants to the Beneficiary that it has performed and shall continue to perform its duties under the Appointment in accordance with the Appointment and that it has exercised and shall continue to exercise the reasonable skill and care to be expected of a properly qualified member of the Consultant’s Profession..”</w:t>
      </w:r>
    </w:p>
    <w:p w:rsidR="00B1098D" w:rsidRDefault="00B1098D" w:rsidP="0083685D">
      <w:pPr>
        <w:pStyle w:val="TGLevel1"/>
      </w:pPr>
      <w:r>
        <w:t>Mr Hale for Costplan urges me not to make any finding to the effect that Costplan is in breach of the Costplan warranty and I do not do so. That matter (if it ever arises) is not before me. But as Ms Packman submits, there is at least on the face of it a likelihood that because of</w:t>
      </w:r>
      <w:r w:rsidR="009E72A0">
        <w:t xml:space="preserve"> </w:t>
      </w:r>
      <w:r>
        <w:t>(a) the various defects and problems with the construction of the Property including the reduction in room size and (b) Mears</w:t>
      </w:r>
      <w:r w:rsidR="009E72A0">
        <w:t>’ criticisms of Cost</w:t>
      </w:r>
      <w:r>
        <w:t>plans</w:t>
      </w:r>
      <w:r w:rsidR="009E72A0">
        <w:t>’</w:t>
      </w:r>
      <w:r>
        <w:t xml:space="preserve"> performance (denied by Costplan) a claim against it would sound under the Costplan Warranty. That then, is a further protection for Mears. Whether in relation to any claim against Costplan it would be necessary to go further than alleging that Costplan has no</w:t>
      </w:r>
      <w:r w:rsidR="009E72A0">
        <w:t>t acted reasonably, for example</w:t>
      </w:r>
      <w:r w:rsidR="000C057D">
        <w:t xml:space="preserve"> that it acted</w:t>
      </w:r>
      <w:r>
        <w:t xml:space="preserve"> in some other way which would vitiate its professional discretion, is not a question before me now.</w:t>
      </w:r>
    </w:p>
    <w:p w:rsidR="00B1098D" w:rsidRDefault="00B1098D" w:rsidP="0083685D">
      <w:pPr>
        <w:pStyle w:val="TGLevel1"/>
      </w:pPr>
      <w:r>
        <w:t xml:space="preserve">I should make it clear (and it is really inherent in all of the </w:t>
      </w:r>
      <w:r w:rsidR="00E53B66">
        <w:t>D</w:t>
      </w:r>
      <w:r>
        <w:t>efendant</w:t>
      </w:r>
      <w:r w:rsidR="00E53B66">
        <w:t>s</w:t>
      </w:r>
      <w:r w:rsidR="00A57CCA">
        <w:t>’</w:t>
      </w:r>
      <w:r>
        <w:t xml:space="preserve"> submissions on this point but I need to spell it out)</w:t>
      </w:r>
      <w:r w:rsidR="009E72A0">
        <w:t xml:space="preserve"> that</w:t>
      </w:r>
      <w:r>
        <w:t xml:space="preserve"> I do not regard </w:t>
      </w:r>
      <w:r w:rsidR="00A152D1">
        <w:t>Clause</w:t>
      </w:r>
      <w:r w:rsidR="00A57CCA">
        <w:t xml:space="preserve"> 15.7 a</w:t>
      </w:r>
      <w:r>
        <w:t>s impliedly barring out any claim which Mears could make hereafter under either the Pickstock or the Costplan collateral warranties.</w:t>
      </w:r>
    </w:p>
    <w:p w:rsidR="00B45818" w:rsidRDefault="00B1098D" w:rsidP="0083685D">
      <w:pPr>
        <w:pStyle w:val="TGLevel1"/>
      </w:pPr>
      <w:r>
        <w:t>I should also make it clear, since the</w:t>
      </w:r>
      <w:r w:rsidR="00E53B66">
        <w:t>re</w:t>
      </w:r>
      <w:r>
        <w:t xml:space="preserve"> were some submissions about the limited nature of the disputes which I have had to decide, </w:t>
      </w:r>
      <w:r w:rsidR="009E72A0">
        <w:t xml:space="preserve">that </w:t>
      </w:r>
      <w:r>
        <w:t xml:space="preserve">I cannot for my part see any basis for </w:t>
      </w:r>
      <w:r w:rsidR="000C057D">
        <w:t>any of the D</w:t>
      </w:r>
      <w:r>
        <w:t xml:space="preserve">efendants contending hereafter that some other claim later made by Mears would be liable to be struck out on </w:t>
      </w:r>
      <w:r w:rsidRPr="009E72A0">
        <w:rPr>
          <w:i/>
        </w:rPr>
        <w:t xml:space="preserve">Henderson v Henderson </w:t>
      </w:r>
      <w:r>
        <w:t xml:space="preserve">principles. This was a suggestion made by Mr </w:t>
      </w:r>
      <w:r w:rsidR="00A768E4">
        <w:t>Woolgar</w:t>
      </w:r>
      <w:r>
        <w:t xml:space="preserve"> at one point in his argument. But this was always going to be a speedy and short trial concentrating on a few issues only rather than all of t</w:t>
      </w:r>
      <w:r w:rsidR="009E72A0">
        <w:t xml:space="preserve">he disputes between the parties; </w:t>
      </w:r>
      <w:r>
        <w:t xml:space="preserve">the context for that </w:t>
      </w:r>
      <w:r w:rsidR="009E72A0">
        <w:t xml:space="preserve">was </w:t>
      </w:r>
      <w:r>
        <w:t xml:space="preserve">the grant of the injunction to which the issues to be decided </w:t>
      </w:r>
      <w:r w:rsidR="000C057D">
        <w:t xml:space="preserve">by </w:t>
      </w:r>
      <w:r>
        <w:t>me are said to relate.</w:t>
      </w:r>
      <w:r w:rsidR="009E72A0">
        <w:t xml:space="preserve"> </w:t>
      </w:r>
      <w:r>
        <w:t xml:space="preserve">Necessarily, other scenarios were not explored. All </w:t>
      </w:r>
      <w:r w:rsidR="009E72A0">
        <w:t>three D</w:t>
      </w:r>
      <w:r>
        <w:t>efendants have made suggestions to one extent or another about the availability of other remedies and I simply do not see how</w:t>
      </w:r>
      <w:r w:rsidR="00B45818">
        <w:t xml:space="preserve"> any claims later made for such remedies can be ruled out on the basis that they could and should have been brought within this trial, a course which I have no doubt the</w:t>
      </w:r>
      <w:r w:rsidR="009E72A0">
        <w:t>se</w:t>
      </w:r>
      <w:r w:rsidR="00B45818">
        <w:t xml:space="preserve"> </w:t>
      </w:r>
      <w:r w:rsidR="009E72A0">
        <w:t>D</w:t>
      </w:r>
      <w:r w:rsidR="00B45818">
        <w:t>efendants would have resisted.</w:t>
      </w:r>
    </w:p>
    <w:p w:rsidR="008C74E9" w:rsidRDefault="00B45818" w:rsidP="0083685D">
      <w:pPr>
        <w:pStyle w:val="TGLevel1"/>
      </w:pPr>
      <w:r>
        <w:t>In respect of alternative remedies generally, Mears makes the overarching point that even if they are available</w:t>
      </w:r>
      <w:r w:rsidR="009E72A0">
        <w:t>,</w:t>
      </w:r>
      <w:r>
        <w:t xml:space="preserve"> they are a poor substitute for a legal right in the case of a breach of </w:t>
      </w:r>
      <w:r w:rsidR="00A152D1">
        <w:t>Clause</w:t>
      </w:r>
      <w:r>
        <w:t xml:space="preserve"> 6.2.1 </w:t>
      </w:r>
      <w:r w:rsidR="009E72A0">
        <w:t xml:space="preserve">to prevent </w:t>
      </w:r>
      <w:r>
        <w:t>practical completion. But agai</w:t>
      </w:r>
      <w:r w:rsidR="009E72A0">
        <w:t>n, that misses the point that I a</w:t>
      </w:r>
      <w:r>
        <w:t xml:space="preserve">m only dealing with the argument of construction on Declaration </w:t>
      </w:r>
      <w:r w:rsidR="009E72A0">
        <w:t>4</w:t>
      </w:r>
      <w:r>
        <w:t xml:space="preserve">. I am not saying that practical completion could never be affected by a breach of this </w:t>
      </w:r>
      <w:r w:rsidR="009E72A0">
        <w:t>c</w:t>
      </w:r>
      <w:r w:rsidR="00A152D1">
        <w:t>lause</w:t>
      </w:r>
      <w:r>
        <w:t>.</w:t>
      </w:r>
    </w:p>
    <w:p w:rsidR="006F50FF" w:rsidRDefault="006F50FF" w:rsidP="006F50FF">
      <w:pPr>
        <w:pStyle w:val="Heading1"/>
      </w:pPr>
      <w:r>
        <w:t xml:space="preserve">Practical completion and declarations </w:t>
      </w:r>
      <w:r w:rsidR="00DD5C5C">
        <w:t>1-</w:t>
      </w:r>
      <w:r>
        <w:t xml:space="preserve">3 </w:t>
      </w:r>
    </w:p>
    <w:p w:rsidR="006F50FF" w:rsidRDefault="00DD5C5C" w:rsidP="0083685D">
      <w:pPr>
        <w:pStyle w:val="TGLevel1"/>
      </w:pPr>
      <w:r>
        <w:t xml:space="preserve">All </w:t>
      </w:r>
      <w:r w:rsidR="006F50FF">
        <w:t>these declarations deal with essentially the same underlyin</w:t>
      </w:r>
      <w:r w:rsidR="000C057D">
        <w:t>g proposition which is that there</w:t>
      </w:r>
      <w:r w:rsidR="006F50FF">
        <w:t xml:space="preserve"> cannot be, or validly be, a certificate of practical completion where there are material and substantial breaches of the AFL concerning the works or (if different) material and/or substantial defects in the works. It is put like that so </w:t>
      </w:r>
      <w:r w:rsidR="009E72A0">
        <w:t>as to make the connection with D</w:t>
      </w:r>
      <w:r w:rsidR="006F50FF">
        <w:t xml:space="preserve">eclaration </w:t>
      </w:r>
      <w:r w:rsidR="009E72A0">
        <w:t xml:space="preserve">4 </w:t>
      </w:r>
      <w:r w:rsidR="006F50FF">
        <w:t xml:space="preserve">to the effect that any breach of </w:t>
      </w:r>
      <w:r w:rsidR="00A152D1">
        <w:t>Clause</w:t>
      </w:r>
      <w:r w:rsidR="006F50FF">
        <w:t xml:space="preserve"> 6.2.1 </w:t>
      </w:r>
      <w:r w:rsidR="009E72A0">
        <w:t xml:space="preserve">is </w:t>
      </w:r>
      <w:r w:rsidR="006F50FF">
        <w:t>a material and substantial breach. Since I have rejected that proposi</w:t>
      </w:r>
      <w:r w:rsidR="009E72A0">
        <w:t xml:space="preserve">tion, in one sense, Declarations </w:t>
      </w:r>
      <w:r>
        <w:t>1-</w:t>
      </w:r>
      <w:r w:rsidR="009E72A0">
        <w:t xml:space="preserve">3 are </w:t>
      </w:r>
      <w:r w:rsidR="006F50FF">
        <w:t>now academic. However the points have been fully argued and I should say something about</w:t>
      </w:r>
      <w:r w:rsidR="009E72A0">
        <w:t xml:space="preserve"> them</w:t>
      </w:r>
      <w:r w:rsidR="006F50FF">
        <w:t>.</w:t>
      </w:r>
    </w:p>
    <w:p w:rsidR="006F50FF" w:rsidRDefault="000A3576" w:rsidP="0083685D">
      <w:pPr>
        <w:pStyle w:val="TGLevel1"/>
      </w:pPr>
      <w:r>
        <w:t>First</w:t>
      </w:r>
      <w:r w:rsidR="006F50FF">
        <w:t xml:space="preserve">, it is not suggested that practical completion, for the purpose of the Building Contract is something different from practical completion for the purpose of the AFL or that there should be </w:t>
      </w:r>
      <w:r w:rsidR="000C057D">
        <w:t>two</w:t>
      </w:r>
      <w:r w:rsidR="006F50FF">
        <w:t xml:space="preserve"> separate certificates, one for each contract.</w:t>
      </w:r>
    </w:p>
    <w:p w:rsidR="006F50FF" w:rsidRDefault="006F50FF" w:rsidP="00513433">
      <w:pPr>
        <w:pStyle w:val="TGLevel1"/>
        <w:spacing w:before="0" w:after="120"/>
      </w:pPr>
      <w:r>
        <w:t>Secondly, I recognise that here, practical completion is of importance not only to the parties to the Building Contract in terms of stage payments, defects liability period and so on but also to Mears and its commitment to enter into the lease. But that said, practical completion is not itself defined and there is no indication that it should not mean what practical completion usually means in the context of building contracts. I deal with that below. It is right to say that there is, in Annex D to the AFL, a schedule of conditions which must be fulfilled before a certificate can be given. And one of the items to be provided at practical completion is</w:t>
      </w:r>
      <w:r w:rsidR="00513433">
        <w:t>:</w:t>
      </w:r>
    </w:p>
    <w:p w:rsidR="00513433" w:rsidRPr="00513433" w:rsidRDefault="00513433" w:rsidP="00513433">
      <w:pPr>
        <w:pStyle w:val="TGLevel1"/>
        <w:numPr>
          <w:ilvl w:val="0"/>
          <w:numId w:val="0"/>
        </w:numPr>
        <w:spacing w:before="0" w:after="120"/>
        <w:ind w:left="1440"/>
        <w:rPr>
          <w:sz w:val="20"/>
          <w:szCs w:val="20"/>
        </w:rPr>
      </w:pPr>
      <w:r>
        <w:rPr>
          <w:sz w:val="20"/>
          <w:szCs w:val="20"/>
        </w:rPr>
        <w:t>“Practical Completion… Will only be granted if the properties presented are complete in every respect for occupation including any foot paths, car parking spaces… External works and fences.…”</w:t>
      </w:r>
    </w:p>
    <w:p w:rsidR="006F50FF" w:rsidRDefault="006F50FF" w:rsidP="00513433">
      <w:pPr>
        <w:pStyle w:val="TGLevel1"/>
        <w:spacing w:before="0" w:after="120"/>
      </w:pPr>
      <w:r>
        <w:t xml:space="preserve">This is referred to in </w:t>
      </w:r>
      <w:r w:rsidR="00A152D1">
        <w:t>Clause</w:t>
      </w:r>
      <w:r>
        <w:t xml:space="preserve"> 14.4 of the AFL as one of the “qualitative requirements” in Part A of Annex D.</w:t>
      </w:r>
    </w:p>
    <w:p w:rsidR="006F50FF" w:rsidRDefault="006F50FF" w:rsidP="0083685D">
      <w:pPr>
        <w:pStyle w:val="TGLevel1"/>
      </w:pPr>
      <w:r>
        <w:t>However, I do not think that this takes the matter much further. I doubt whether it imposes a higher standard for practical completion than would otherwise apply here, having regard to the context of the AFL. What it does make clear is that it is all aspects of occupation i.e. not just the basic accommodation but car parking etc that must be ready.</w:t>
      </w:r>
    </w:p>
    <w:p w:rsidR="006F50FF" w:rsidRDefault="006F50FF" w:rsidP="0083685D">
      <w:pPr>
        <w:pStyle w:val="TGLevel1"/>
      </w:pPr>
      <w:r>
        <w:t>I have been referred to a</w:t>
      </w:r>
      <w:r w:rsidR="009E72A0">
        <w:t xml:space="preserve"> wide variety of materials opining</w:t>
      </w:r>
      <w:r>
        <w:t xml:space="preserve"> on what practical completion means. I do not intend to refer to all of them. Instead I would </w:t>
      </w:r>
      <w:r w:rsidR="009E72A0">
        <w:t>f</w:t>
      </w:r>
      <w:r w:rsidR="000A3576">
        <w:t>irst</w:t>
      </w:r>
      <w:r>
        <w:t xml:space="preserve"> respectfully adopt the statement of principle to be found in </w:t>
      </w:r>
      <w:r w:rsidR="000C057D" w:rsidRPr="00DD5C5C">
        <w:rPr>
          <w:i/>
        </w:rPr>
        <w:t xml:space="preserve">Keating </w:t>
      </w:r>
      <w:r w:rsidR="00DD5C5C" w:rsidRPr="00DD5C5C">
        <w:rPr>
          <w:i/>
        </w:rPr>
        <w:t>on Construction Contracts</w:t>
      </w:r>
      <w:r w:rsidR="00DD5C5C">
        <w:t xml:space="preserve"> (9</w:t>
      </w:r>
      <w:r w:rsidR="00DD5C5C" w:rsidRPr="00DD5C5C">
        <w:rPr>
          <w:vertAlign w:val="superscript"/>
        </w:rPr>
        <w:t>th</w:t>
      </w:r>
      <w:r w:rsidR="00DD5C5C">
        <w:t xml:space="preserve"> Edition) </w:t>
      </w:r>
      <w:r w:rsidR="000C057D">
        <w:t>at paragraph 20-120:</w:t>
      </w:r>
    </w:p>
    <w:p w:rsidR="000C057D" w:rsidRPr="000C057D" w:rsidRDefault="000C057D" w:rsidP="000C057D">
      <w:pPr>
        <w:pStyle w:val="TGLevel3"/>
      </w:pPr>
      <w:r w:rsidRPr="000C057D">
        <w:rPr>
          <w:sz w:val="20"/>
          <w:szCs w:val="20"/>
        </w:rPr>
        <w:t>the Works can be practically complete notwithstanding that there are latent defect</w:t>
      </w:r>
      <w:r>
        <w:rPr>
          <w:sz w:val="20"/>
          <w:szCs w:val="20"/>
        </w:rPr>
        <w:t>s</w:t>
      </w:r>
      <w:r w:rsidRPr="000C057D">
        <w:rPr>
          <w:sz w:val="20"/>
          <w:szCs w:val="20"/>
        </w:rPr>
        <w:t>;</w:t>
      </w:r>
    </w:p>
    <w:p w:rsidR="000C057D" w:rsidRPr="000C057D" w:rsidRDefault="000C057D" w:rsidP="000C057D">
      <w:pPr>
        <w:pStyle w:val="TGLevel3"/>
      </w:pPr>
      <w:r w:rsidRPr="000C057D">
        <w:rPr>
          <w:sz w:val="20"/>
          <w:szCs w:val="20"/>
        </w:rPr>
        <w:t>a Certificate of Practical Completion may not be issued if there are patent defects. The Defects Liability Period is provided in order to enable defects not apparent at the date of Practical Completion to be remedied;</w:t>
      </w:r>
    </w:p>
    <w:p w:rsidR="000C057D" w:rsidRPr="000C057D" w:rsidRDefault="000C057D" w:rsidP="000C057D">
      <w:pPr>
        <w:pStyle w:val="TGLevel3"/>
      </w:pPr>
      <w:r w:rsidRPr="000C057D">
        <w:rPr>
          <w:sz w:val="20"/>
          <w:szCs w:val="20"/>
        </w:rPr>
        <w:t>practical Completion means the completion of all the construction work that has to be done; and</w:t>
      </w:r>
    </w:p>
    <w:p w:rsidR="000C057D" w:rsidRPr="000C057D" w:rsidRDefault="000C057D" w:rsidP="000C057D">
      <w:pPr>
        <w:pStyle w:val="TGLevel3"/>
      </w:pPr>
      <w:r w:rsidRPr="000C057D">
        <w:rPr>
          <w:sz w:val="20"/>
          <w:szCs w:val="20"/>
        </w:rPr>
        <w:t xml:space="preserve">however, the Architect is given a discretion… To certify Practical Completion where there are very minor items of work left incomplete on “de </w:t>
      </w:r>
      <w:r w:rsidR="0004551B" w:rsidRPr="000C057D">
        <w:rPr>
          <w:sz w:val="20"/>
          <w:szCs w:val="20"/>
        </w:rPr>
        <w:t>minimis ”principles</w:t>
      </w:r>
      <w:r>
        <w:rPr>
          <w:sz w:val="20"/>
          <w:szCs w:val="20"/>
        </w:rPr>
        <w:t xml:space="preserve">. </w:t>
      </w:r>
    </w:p>
    <w:p w:rsidR="00A16E42" w:rsidRDefault="006F50FF" w:rsidP="0083685D">
      <w:pPr>
        <w:pStyle w:val="TGLevel1"/>
      </w:pPr>
      <w:r>
        <w:t>Principle</w:t>
      </w:r>
      <w:r w:rsidR="000C057D">
        <w:t>s</w:t>
      </w:r>
      <w:r>
        <w:t xml:space="preserve"> (b) and (c) are primarily drawn from the judgment of Viscount Dilhorne in</w:t>
      </w:r>
      <w:r>
        <w:rPr>
          <w:i/>
        </w:rPr>
        <w:t xml:space="preserve"> Jarvis v Westminster Corp</w:t>
      </w:r>
      <w:r>
        <w:t xml:space="preserve"> [1970] 1 WLR 637 at 646-647, and effectively followed by </w:t>
      </w:r>
      <w:r w:rsidR="009E72A0">
        <w:t>H</w:t>
      </w:r>
      <w:r>
        <w:t xml:space="preserve">is </w:t>
      </w:r>
      <w:r w:rsidR="009E72A0">
        <w:t>H</w:t>
      </w:r>
      <w:r>
        <w:t xml:space="preserve">onour Judge Newey QC in </w:t>
      </w:r>
      <w:r>
        <w:rPr>
          <w:i/>
        </w:rPr>
        <w:t xml:space="preserve">Nevills v Wren Property </w:t>
      </w:r>
      <w:r w:rsidRPr="006F50FF">
        <w:t>(</w:t>
      </w:r>
      <w:r>
        <w:t xml:space="preserve">1981) 20 PLR 78 and (d) is also from </w:t>
      </w:r>
      <w:r>
        <w:rPr>
          <w:i/>
        </w:rPr>
        <w:t xml:space="preserve">Jarvis. </w:t>
      </w:r>
      <w:r w:rsidRPr="009E72A0">
        <w:t>Principle</w:t>
      </w:r>
      <w:r>
        <w:t xml:space="preserve"> (a) is not really controversial.</w:t>
      </w:r>
      <w:r w:rsidR="00A16E42">
        <w:t xml:space="preserve"> A latent defect cannot, by definition, be picked up at the time of certifying practical completion. But it may be, later, if it arises during </w:t>
      </w:r>
      <w:r w:rsidR="00055AAF">
        <w:t xml:space="preserve">the </w:t>
      </w:r>
      <w:r w:rsidR="00A16E42">
        <w:t>defects liability period</w:t>
      </w:r>
      <w:r w:rsidR="00055AAF">
        <w:t xml:space="preserve"> commonly </w:t>
      </w:r>
      <w:r w:rsidR="00A16E42">
        <w:t>provided for</w:t>
      </w:r>
      <w:r w:rsidR="00055AAF">
        <w:t>,</w:t>
      </w:r>
      <w:r w:rsidR="00A16E42">
        <w:t xml:space="preserve"> as it is here.</w:t>
      </w:r>
    </w:p>
    <w:p w:rsidR="00A16E42" w:rsidRDefault="00A16E42" w:rsidP="0083685D">
      <w:pPr>
        <w:pStyle w:val="TGLevel1"/>
      </w:pPr>
      <w:r>
        <w:t xml:space="preserve">Beyond those statements of principle, however, I would add some further observations. </w:t>
      </w:r>
      <w:r w:rsidR="000A3576">
        <w:t>First</w:t>
      </w:r>
      <w:r>
        <w:t xml:space="preserve">, the notion of practical completion might be thought to connote no more than the apparent finishing of all the work that has to be done. Thus the failure yet to construct </w:t>
      </w:r>
      <w:r w:rsidR="009E72A0">
        <w:t xml:space="preserve">a </w:t>
      </w:r>
      <w:r>
        <w:t xml:space="preserve">part the building, as required by the contract would prevent practical completion. In a very trivial case, practical completion might still be certified with an additional requirement to provide the missing element for example a gate at the side of a newly built house or, even more minor, the requisite lock for the gate. However it is plain that practical completion is not merely about the extent of the work done but also, at least </w:t>
      </w:r>
      <w:r w:rsidR="009E72A0">
        <w:t>in some respects, it</w:t>
      </w:r>
      <w:r>
        <w:t>s quality. Work that has either not been done at all when it should have been, or which has been done but done badly, could both equally be described as “defective”. Thus to supply and purportedly finish the construction of a central heating system but which in a real sense fails to work could prevent the issue of practical completion see, for example, the decision of the Court of Appeal in</w:t>
      </w:r>
      <w:r>
        <w:rPr>
          <w:i/>
        </w:rPr>
        <w:t xml:space="preserve"> Bolton v Mahdeva </w:t>
      </w:r>
      <w:r>
        <w:t xml:space="preserve">[1971] 2 WLR 1009, referred to at paragraph 4-019 of </w:t>
      </w:r>
      <w:r>
        <w:rPr>
          <w:i/>
        </w:rPr>
        <w:t>Keating</w:t>
      </w:r>
      <w:r>
        <w:t>. If it were otherwise, it would make no sense to say that if there are p</w:t>
      </w:r>
      <w:r w:rsidR="009E72A0">
        <w:t xml:space="preserve">atent </w:t>
      </w:r>
      <w:r>
        <w:t>defects, this could prevent practical completion.</w:t>
      </w:r>
    </w:p>
    <w:p w:rsidR="000C057D" w:rsidRDefault="00A16E42" w:rsidP="0083685D">
      <w:pPr>
        <w:pStyle w:val="TGLevel1"/>
      </w:pPr>
      <w:r>
        <w:t>There is a gloss on this</w:t>
      </w:r>
      <w:r w:rsidR="009E72A0">
        <w:t>,</w:t>
      </w:r>
      <w:r>
        <w:t xml:space="preserve"> however, which is that the works need not be in every respect in complete conformity with the contract in order to merit practical completion, provided that any non</w:t>
      </w:r>
      <w:r w:rsidR="009E72A0">
        <w:t>-</w:t>
      </w:r>
      <w:r>
        <w:t>conformity is insignificant</w:t>
      </w:r>
      <w:r w:rsidR="009E72A0">
        <w:t xml:space="preserve">, </w:t>
      </w:r>
      <w:r>
        <w:t>a matter which will usually be left to the professional judgment of the certifying entity.</w:t>
      </w:r>
      <w:r w:rsidR="000C057D">
        <w:t>(This is made clear in the AFL because Costplan can provide in the certificate for the completion of outstanding works and rectification of snagging as indeed it has done in the draft certificate).</w:t>
      </w:r>
      <w:r>
        <w:t xml:space="preserve"> </w:t>
      </w:r>
    </w:p>
    <w:p w:rsidR="00A16E42" w:rsidRDefault="00A16E42" w:rsidP="0083685D">
      <w:pPr>
        <w:pStyle w:val="TGLevel1"/>
      </w:pPr>
      <w:r>
        <w:t>Put another way, there will be practical completion if to all intents and purposes the building is complete. So the intent and the purpose of the building is key. When the building is intended to house people, that has led to an emphasis on</w:t>
      </w:r>
      <w:r w:rsidR="009E72A0">
        <w:t xml:space="preserve"> it</w:t>
      </w:r>
      <w:r>
        <w:t xml:space="preserve"> being fit for occupation by such people.</w:t>
      </w:r>
    </w:p>
    <w:p w:rsidR="00A16E42" w:rsidRDefault="009E72A0" w:rsidP="0083685D">
      <w:pPr>
        <w:pStyle w:val="TGLevel1"/>
      </w:pPr>
      <w:r>
        <w:t>That said</w:t>
      </w:r>
      <w:r w:rsidR="00A16E42">
        <w:t>, what amounts to being sufficiently ready for occupation is highly fact-sensitive. So, for example, if a building was to be ready for occupation by a family, but one or more of the bedrooms had been constructed in such a way that a member of the family would find it uncomfortable or inconvenien</w:t>
      </w:r>
      <w:r w:rsidR="00D9103A">
        <w:t xml:space="preserve">t </w:t>
      </w:r>
      <w:r w:rsidR="00A16E42">
        <w:t xml:space="preserve">to occupy it then this may </w:t>
      </w:r>
      <w:r w:rsidR="00D9103A">
        <w:t xml:space="preserve">mean </w:t>
      </w:r>
      <w:r w:rsidR="00A16E42">
        <w:t>that the building was not ready for occupation and so there could not be practical completion. Context, therefore, is everything. So although I am not asked to determine this issue (see above) the mere fact that the Property could strictly now take students into each of its 348 bedrooms does not necessarily mean without more that the works are practically complete if in fact there would on any objective basis be a real problem in some of the students not being able to use these rooms or use them as intended.</w:t>
      </w:r>
    </w:p>
    <w:p w:rsidR="005B021F" w:rsidRDefault="00A16E42" w:rsidP="0083685D">
      <w:pPr>
        <w:pStyle w:val="TGLevel1"/>
      </w:pPr>
      <w:r>
        <w:t xml:space="preserve">I would </w:t>
      </w:r>
      <w:r w:rsidR="00D9103A">
        <w:t xml:space="preserve">also </w:t>
      </w:r>
      <w:r>
        <w:t xml:space="preserve">add </w:t>
      </w:r>
      <w:r w:rsidR="00D9103A">
        <w:t xml:space="preserve">this. </w:t>
      </w:r>
      <w:r>
        <w:t xml:space="preserve">There might be breaches of contract which really do not in any way affect the ability of the building to be ready to accommodate its occupants and yet can still prevent practical completion. Suppose the roof, while meeting all relevant building regulations etc and without affecting any of the planning permissions, is made or finished in a way not in accordance with the specification and is of an odd shape </w:t>
      </w:r>
      <w:r w:rsidR="00D9103A">
        <w:t xml:space="preserve">with </w:t>
      </w:r>
      <w:r>
        <w:t>an ungainly and unattractive appearance.</w:t>
      </w:r>
      <w:r w:rsidR="005B021F">
        <w:t xml:space="preserve"> Or the external paintwork, while fit for purpose as paintwor</w:t>
      </w:r>
      <w:r w:rsidR="00D9103A">
        <w:t>k is the wrong colour or finish.</w:t>
      </w:r>
      <w:r w:rsidR="005B021F">
        <w:t xml:space="preserve"> I would be surprised if that could not prevent practical completion even though the building was fit for occupation.</w:t>
      </w:r>
    </w:p>
    <w:p w:rsidR="005B021F" w:rsidRDefault="005B021F" w:rsidP="0083685D">
      <w:pPr>
        <w:pStyle w:val="TGLevel1"/>
      </w:pPr>
      <w:r>
        <w:t>In other words, and to state the obvious, there are in theory many different reasons why a particular building in a particular state can be said not to have been practically completed. And it is not appropriate or wise even to attempt an exhaustive list.</w:t>
      </w:r>
    </w:p>
    <w:p w:rsidR="008B0A86" w:rsidRDefault="005B021F" w:rsidP="0083685D">
      <w:pPr>
        <w:pStyle w:val="TGLevel1"/>
      </w:pPr>
      <w:r>
        <w:t xml:space="preserve">It might be a moot point as to whether one describes a reduction in room size as a matter going to the work requiring to be finished or going to the quality of the work done, although in either event </w:t>
      </w:r>
      <w:r w:rsidR="008B0A86">
        <w:t>a breach of contract, but I do not think this matters. Put another way, it seems to me that any (other than “</w:t>
      </w:r>
      <w:r w:rsidR="008B0A86" w:rsidRPr="00D9103A">
        <w:rPr>
          <w:i/>
        </w:rPr>
        <w:t>de minimis</w:t>
      </w:r>
      <w:r w:rsidR="008B0A86">
        <w:t xml:space="preserve">”) breach of </w:t>
      </w:r>
      <w:r w:rsidR="000C057D">
        <w:t>a b</w:t>
      </w:r>
      <w:r w:rsidR="008B0A86">
        <w:t xml:space="preserve">uilding </w:t>
      </w:r>
      <w:r w:rsidR="000C057D">
        <w:t>c</w:t>
      </w:r>
      <w:r w:rsidR="008B0A86">
        <w:t>ontract by the contractor, of whatever kind, could potentially stop practical completion depending on the nature and extent of it and the intended purpose of the building.</w:t>
      </w:r>
    </w:p>
    <w:p w:rsidR="000C6160" w:rsidRDefault="008B0A86" w:rsidP="0083685D">
      <w:pPr>
        <w:pStyle w:val="TGLevel1"/>
      </w:pPr>
      <w:r>
        <w:t xml:space="preserve">For those reasons, I fail to see why an irremediable breach should necessarily entail that </w:t>
      </w:r>
      <w:r w:rsidR="000C057D">
        <w:t xml:space="preserve"> it can never prevent </w:t>
      </w:r>
      <w:r w:rsidR="00DD5C5C">
        <w:t xml:space="preserve">practical completion. If, </w:t>
      </w:r>
      <w:r w:rsidR="000C057D">
        <w:t xml:space="preserve">on the facts, </w:t>
      </w:r>
      <w:r>
        <w:t>it is sufficient to prevent practical completion the fact that it cannot be remedied does not alter the status of the building for the purpose of practical completion. If it were otherwise then, as Mears has pointed out, the contract-breaker gains by the nature of the breach. The only argument raised against that point is that in such an event, practical completion could be postponed indefinitely, with an indefinite obligation on the part of the contractor to pay liquidated damages for delay. That, in my view, is unrealistic. In the event of a case where the contract can simply now not be completed</w:t>
      </w:r>
      <w:r w:rsidR="000C6160">
        <w:t xml:space="preserve"> (at least not without starting again) the building owner is surely more likely to accept that situation and terminate the contract claiming damages from the contractor (for the defects not for the delay covered by liquidated damages) and decide what to do with the building. It would be no different from the contractor who has completed 75% of the works and then walked off site never to return.</w:t>
      </w:r>
    </w:p>
    <w:p w:rsidR="000C6160" w:rsidRDefault="000C6160" w:rsidP="0083685D">
      <w:pPr>
        <w:pStyle w:val="TGLevel1"/>
      </w:pPr>
      <w:r>
        <w:t xml:space="preserve">Accordingly, the fact that the breach alleged here is not capable of remedy on any sensible basis does not mean that </w:t>
      </w:r>
      <w:r w:rsidR="00F73275">
        <w:t xml:space="preserve">it cannot prevent </w:t>
      </w:r>
      <w:r>
        <w:t>practical completion. But on the other hand nor does it mean that it</w:t>
      </w:r>
      <w:r w:rsidR="00F73275">
        <w:t xml:space="preserve"> will </w:t>
      </w:r>
      <w:r w:rsidR="00F73275">
        <w:rPr>
          <w:u w:val="single"/>
        </w:rPr>
        <w:t>always</w:t>
      </w:r>
      <w:r w:rsidR="00F73275" w:rsidRPr="00F73275">
        <w:t xml:space="preserve"> </w:t>
      </w:r>
      <w:r w:rsidR="00D9103A">
        <w:t>prevent</w:t>
      </w:r>
      <w:r>
        <w:t xml:space="preserve"> practical completion.</w:t>
      </w:r>
    </w:p>
    <w:p w:rsidR="00F5637F" w:rsidRDefault="000C6160" w:rsidP="0083685D">
      <w:pPr>
        <w:pStyle w:val="TGLevel1"/>
      </w:pPr>
      <w:r>
        <w:t xml:space="preserve">In this context, there was some debate before me about the effect of the decision of the House of Lords in </w:t>
      </w:r>
      <w:r w:rsidRPr="000C6160">
        <w:rPr>
          <w:i/>
        </w:rPr>
        <w:t>Ruxley v Forsyth</w:t>
      </w:r>
      <w:r>
        <w:t xml:space="preserve"> [1996] AC 344. Here the employer discovered that the contractor had built the swimming pool’s diving area only to a depth of 6</w:t>
      </w:r>
      <w:r w:rsidR="00D9103A">
        <w:t>’</w:t>
      </w:r>
      <w:r>
        <w:t xml:space="preserve"> and not 7’6”. The issue</w:t>
      </w:r>
      <w:r w:rsidR="00D9103A">
        <w:t xml:space="preserve"> for the House of Lords concerned </w:t>
      </w:r>
      <w:r>
        <w:t xml:space="preserve">the correct measure of damages where the diving area as built could still be used for diving and where it would be disproportionate to remedy the breach because it would involve rebuilding the swimming pool. However, at </w:t>
      </w:r>
      <w:r w:rsidR="00D9103A">
        <w:t>f</w:t>
      </w:r>
      <w:r w:rsidR="000A3576">
        <w:t>irst</w:t>
      </w:r>
      <w:r>
        <w:t xml:space="preserve"> instance, the claimant also argued that (a) this was an entire contract, (b) the swimming pool had not been completed and therefore (c) </w:t>
      </w:r>
      <w:r w:rsidR="00F5637F">
        <w:t>he owed nothing at all to the builder and should in fact be refunded the money already paid. Judge Diamond rejected this on the basis that since instalment payments had been provided for it was very difficult to see this as a contract for a lump sum. But he also found that the pool was substantially complete anyway. That point was not pursued on appeal.</w:t>
      </w:r>
    </w:p>
    <w:p w:rsidR="00F5637F" w:rsidRDefault="00F5637F" w:rsidP="0083685D">
      <w:pPr>
        <w:pStyle w:val="TGLevel1"/>
      </w:pPr>
      <w:r>
        <w:t>Pickstock refers to this as showing that the fact that the problem with the works (there as here) is that they cannot be sensibly remedied</w:t>
      </w:r>
      <w:r w:rsidR="00D9103A">
        <w:t xml:space="preserve"> will </w:t>
      </w:r>
      <w:r>
        <w:t xml:space="preserve">not prevent practical completion. However, as already indicated, it all depends on the facts. In </w:t>
      </w:r>
      <w:r w:rsidRPr="00F5637F">
        <w:rPr>
          <w:i/>
        </w:rPr>
        <w:t>Ruxley</w:t>
      </w:r>
      <w:r>
        <w:t xml:space="preserve">,  it was a question of determining what was substantial completion in the context of an argument about a lump sum contract. It was not about when practical completion was or was not appropriate in such a case although I recognise that in some cases, the </w:t>
      </w:r>
      <w:r w:rsidR="00D9103A">
        <w:t>two</w:t>
      </w:r>
      <w:r>
        <w:t xml:space="preserve"> concepts are equated. But on any view, the point in </w:t>
      </w:r>
      <w:r>
        <w:rPr>
          <w:i/>
        </w:rPr>
        <w:t>Ruxley</w:t>
      </w:r>
      <w:r>
        <w:t xml:space="preserve"> cannot be elevated into some principle that can affect the case before me. Especially as it was a point that was never appealed.</w:t>
      </w:r>
    </w:p>
    <w:p w:rsidR="00F5637F" w:rsidRDefault="00F5637F" w:rsidP="000766A2">
      <w:pPr>
        <w:pStyle w:val="TGLevel1"/>
        <w:spacing w:after="120"/>
      </w:pPr>
      <w:r>
        <w:t xml:space="preserve">In the light of all that, I am not prepared to make Declarations </w:t>
      </w:r>
      <w:r w:rsidR="00DD5C5C">
        <w:t>1-3</w:t>
      </w:r>
      <w:r>
        <w:t>. Not because substantial breaches of contract or defects cannot prevent practical completion, but because</w:t>
      </w:r>
    </w:p>
    <w:p w:rsidR="000D578A" w:rsidRDefault="00F5637F" w:rsidP="000766A2">
      <w:pPr>
        <w:pStyle w:val="TGLevel2"/>
        <w:spacing w:after="120"/>
      </w:pPr>
      <w:r>
        <w:t>for the reasons already given, it depends</w:t>
      </w:r>
      <w:r w:rsidR="000D578A">
        <w:t xml:space="preserve"> acutely on the facts and the contractual context;</w:t>
      </w:r>
    </w:p>
    <w:p w:rsidR="000D578A" w:rsidRDefault="000D578A" w:rsidP="000766A2">
      <w:pPr>
        <w:pStyle w:val="TGLevel2"/>
        <w:spacing w:after="120"/>
      </w:pPr>
      <w:r>
        <w:t xml:space="preserve">the </w:t>
      </w:r>
      <w:r w:rsidR="00D9103A">
        <w:t>d</w:t>
      </w:r>
      <w:r>
        <w:t>eclarations sought are really asking the Court to give a definition of practical completion in very general and abstract terms, as opposed to asking whether on the facts of this case and this contract the stage of practi</w:t>
      </w:r>
      <w:r w:rsidR="00A57CCA">
        <w:t>cal completion has been reached;</w:t>
      </w:r>
      <w:r>
        <w:t xml:space="preserve"> and</w:t>
      </w:r>
    </w:p>
    <w:p w:rsidR="00D9103A" w:rsidRDefault="000D578A" w:rsidP="000766A2">
      <w:pPr>
        <w:pStyle w:val="TGLevel2"/>
        <w:spacing w:after="120"/>
      </w:pPr>
      <w:r>
        <w:t>it is not strictly necessary for me to answer the points raised by Declarations</w:t>
      </w:r>
      <w:r w:rsidR="00DD5C5C">
        <w:t xml:space="preserve"> 1-3</w:t>
      </w:r>
      <w:r w:rsidR="000766A2">
        <w:t>,</w:t>
      </w:r>
      <w:r>
        <w:t xml:space="preserve"> given that Mears cannot establish the prior building block, which is </w:t>
      </w:r>
      <w:r w:rsidR="00D9103A">
        <w:t>D</w:t>
      </w:r>
      <w:r>
        <w:t>eclaration 4.</w:t>
      </w:r>
      <w:r w:rsidR="00F5637F">
        <w:t xml:space="preserve"> </w:t>
      </w:r>
    </w:p>
    <w:p w:rsidR="00DC01D1" w:rsidRDefault="00DC01D1" w:rsidP="00D9103A">
      <w:pPr>
        <w:pStyle w:val="Heading1"/>
      </w:pPr>
      <w:r>
        <w:t xml:space="preserve">which drawings or plans are the subject of </w:t>
      </w:r>
      <w:r w:rsidR="00A152D1">
        <w:t>Clause</w:t>
      </w:r>
      <w:r>
        <w:t xml:space="preserve"> 6.2.1?</w:t>
      </w:r>
    </w:p>
    <w:p w:rsidR="006F50FF" w:rsidRDefault="00DC01D1" w:rsidP="00DC01D1">
      <w:pPr>
        <w:pStyle w:val="Heading2"/>
      </w:pPr>
      <w:r>
        <w:t xml:space="preserve">Introduction </w:t>
      </w:r>
    </w:p>
    <w:p w:rsidR="00DC01D1" w:rsidRDefault="00DC01D1" w:rsidP="00DC01D1">
      <w:pPr>
        <w:pStyle w:val="TGLevel1"/>
      </w:pPr>
      <w:bookmarkStart w:id="2" w:name="_Ref531720362"/>
      <w:r>
        <w:t xml:space="preserve">Pickstock contends that either upon a true construction of </w:t>
      </w:r>
      <w:r w:rsidR="00A152D1">
        <w:t>Clause</w:t>
      </w:r>
      <w:r>
        <w:t xml:space="preserve"> 6.2.1, or by reason of an implied term, the expression “Building Documents” contained in the parentheses must be read as if it meant “developed design [drawings/plans] current as at the AFL” (see paragraphs 39 and 40 of Pickstock’s Closing Submissions). For its part, PNS says that upon a true construction of Clause 6.2.1, the Planning Drawings could not constitute distinct areas (which I deal with below) or that there is an implied term excluding the floor areas in the Planning Drawings from the scope of </w:t>
      </w:r>
      <w:r w:rsidR="00A152D1">
        <w:t>Clause</w:t>
      </w:r>
      <w:r>
        <w:t xml:space="preserve"> 6.2.1 altogether</w:t>
      </w:r>
      <w:r w:rsidR="00D9103A">
        <w:t xml:space="preserve"> </w:t>
      </w:r>
      <w:r>
        <w:t>-</w:t>
      </w:r>
      <w:r w:rsidR="00D9103A">
        <w:t xml:space="preserve"> </w:t>
      </w:r>
      <w:r>
        <w:t>see paragraphs 48.1 and 48.2 of PNS’s Closing Submissions.</w:t>
      </w:r>
      <w:bookmarkEnd w:id="2"/>
    </w:p>
    <w:p w:rsidR="00DC01D1" w:rsidRDefault="00DC01D1" w:rsidP="00DC01D1">
      <w:pPr>
        <w:pStyle w:val="TGLevel1"/>
      </w:pPr>
      <w:r>
        <w:t xml:space="preserve">In reality it is not much use to conclude that the Planning Drawings are of no effect in relation to Clause 6.2.1 without some alternative to be put in their place, for otherwise, the AFL gives no contractual indication </w:t>
      </w:r>
      <w:r w:rsidR="00D9103A">
        <w:t xml:space="preserve">of the size of the rooms at all; this, </w:t>
      </w:r>
      <w:r>
        <w:t>in my judgment would be absurd. I say that in the light also of the finding I make below that “distinct areas” can and do apply to individual rooms. Accordingly, I propose to concentrate on how the matter has been put by Pickstock.</w:t>
      </w:r>
    </w:p>
    <w:p w:rsidR="00DC01D1" w:rsidRDefault="00DC01D1" w:rsidP="00DC01D1">
      <w:pPr>
        <w:pStyle w:val="Heading2"/>
      </w:pPr>
      <w:r>
        <w:t xml:space="preserve">Construction </w:t>
      </w:r>
    </w:p>
    <w:p w:rsidR="0009358C" w:rsidRDefault="00DC01D1" w:rsidP="00DC01D1">
      <w:pPr>
        <w:pStyle w:val="TGLevel1"/>
      </w:pPr>
      <w:r>
        <w:t xml:space="preserve">The first and obvious point to note is that the claimed contractual construction does real violence to the definition of Building Documents </w:t>
      </w:r>
      <w:r w:rsidR="00D9103A">
        <w:t>i</w:t>
      </w:r>
      <w:r w:rsidR="00A51DC3">
        <w:t>.</w:t>
      </w:r>
      <w:r w:rsidR="00D9103A">
        <w:t>e</w:t>
      </w:r>
      <w:r w:rsidR="00A51DC3">
        <w:t>.</w:t>
      </w:r>
      <w:r w:rsidR="00D9103A">
        <w:t xml:space="preserve"> </w:t>
      </w:r>
      <w:r>
        <w:t xml:space="preserve">all of those documents in Annex A. It would also involve the addition of the words referred to in paragraph </w:t>
      </w:r>
      <w:r w:rsidR="00D9103A">
        <w:fldChar w:fldCharType="begin"/>
      </w:r>
      <w:r w:rsidR="00D9103A">
        <w:instrText xml:space="preserve"> REF _Ref531720362 \w \h </w:instrText>
      </w:r>
      <w:r w:rsidR="00D9103A">
        <w:fldChar w:fldCharType="separate"/>
      </w:r>
      <w:r w:rsidR="007E35A7">
        <w:t>89</w:t>
      </w:r>
      <w:r w:rsidR="00D9103A">
        <w:fldChar w:fldCharType="end"/>
      </w:r>
      <w:r>
        <w:t xml:space="preserve"> above. The importance of the language actually chosen by the parties to a contract was re-emphasised in </w:t>
      </w:r>
      <w:r>
        <w:rPr>
          <w:i/>
        </w:rPr>
        <w:t xml:space="preserve">Arnold v Brittan </w:t>
      </w:r>
      <w:r>
        <w:t xml:space="preserve">[2015] UKSC 36 - see in particular paragraph 17 of the judgment of Lord Neuberger. I recognise of course that in </w:t>
      </w:r>
      <w:r>
        <w:rPr>
          <w:i/>
        </w:rPr>
        <w:t>Wood v Capita</w:t>
      </w:r>
      <w:r>
        <w:t xml:space="preserve"> [2017] AC 1173, </w:t>
      </w:r>
      <w:r w:rsidR="0009358C">
        <w:t>Lord Hodge in paragraph 13 said that “textual</w:t>
      </w:r>
      <w:r w:rsidR="00D9103A">
        <w:t xml:space="preserve">ism and </w:t>
      </w:r>
      <w:r w:rsidR="0009358C">
        <w:t>context</w:t>
      </w:r>
      <w:r w:rsidR="00D9103A">
        <w:t xml:space="preserve">ualism are </w:t>
      </w:r>
      <w:r w:rsidR="0009358C">
        <w:t xml:space="preserve">not conflicting paradigms in a battle for exclusive occupation of the field of contractual </w:t>
      </w:r>
      <w:r w:rsidR="001F0506">
        <w:t>interpretation</w:t>
      </w:r>
      <w:r w:rsidR="00D9103A">
        <w:t>”</w:t>
      </w:r>
      <w:r w:rsidR="001F0506">
        <w:t xml:space="preserve"> and</w:t>
      </w:r>
      <w:r w:rsidR="0009358C">
        <w:t xml:space="preserve"> that the extent to which each will assist the court depends on the circumstances of the particular agreement. On that basis, he said in paragraph 14 that </w:t>
      </w:r>
      <w:r w:rsidR="0009358C">
        <w:rPr>
          <w:i/>
        </w:rPr>
        <w:t>Arnold</w:t>
      </w:r>
      <w:r w:rsidR="0009358C">
        <w:t xml:space="preserve"> was saying the same thing. However, I do not think that he was there saying that the plain meaning of </w:t>
      </w:r>
      <w:r w:rsidR="00D9103A">
        <w:t xml:space="preserve">a provision </w:t>
      </w:r>
      <w:r w:rsidR="0009358C">
        <w:t>can be simply sacrificed on the altar of commercial purpose where the result would be to do real violence to the language. And secondly, this is not one of those cases where there is a simple</w:t>
      </w:r>
      <w:r w:rsidR="00D9103A">
        <w:t xml:space="preserve"> question of deciding which of two </w:t>
      </w:r>
      <w:r w:rsidR="0009358C">
        <w:t>competing constructions is the right one. Here, it is, in a very real sense, adding to or changing the obvious meaning of the words. I say that because what Clause 6.2.1 on its face injun</w:t>
      </w:r>
      <w:r w:rsidR="00D9103A">
        <w:t>c</w:t>
      </w:r>
      <w:r w:rsidR="0009358C">
        <w:t xml:space="preserve">ts is to go by the various sizes and layouts (where relevant) contained in the Building Documents. Since the Planning Drawings are the only complete set of drawings with various sizes for every room (compare the Elements Drawings and the Layout </w:t>
      </w:r>
      <w:r w:rsidR="00D9103A">
        <w:t>Drawings</w:t>
      </w:r>
      <w:r w:rsidR="0009358C">
        <w:t xml:space="preserve">) one would in my view have to conclude that something very wrong indeed has happened in the drafting of the definition of Building Documents before one can simply remove from their ambit the Planning Drawings and thereby alter the effect of the </w:t>
      </w:r>
      <w:r w:rsidR="00A152D1">
        <w:t>Clause</w:t>
      </w:r>
      <w:r w:rsidR="0009358C">
        <w:t>.</w:t>
      </w:r>
    </w:p>
    <w:p w:rsidR="0009358C" w:rsidRDefault="0009358C" w:rsidP="00DC01D1">
      <w:pPr>
        <w:pStyle w:val="TGLevel1"/>
      </w:pPr>
      <w:r>
        <w:t>In this regard both Pickstock and PNS have contended that the Planning Drawings were indicative only</w:t>
      </w:r>
      <w:r w:rsidR="000766A2">
        <w:t xml:space="preserve">, given </w:t>
      </w:r>
      <w:r>
        <w:t xml:space="preserve">their original use in connection with the planning permission application and so as a matter of fact, later and changed drawings </w:t>
      </w:r>
      <w:r w:rsidR="000766A2">
        <w:t xml:space="preserve">would and </w:t>
      </w:r>
      <w:r>
        <w:t xml:space="preserve">did exist as at the date of the AFL. I follow that but on that footing, the more natural claim here would have been for rectification for common mistake. </w:t>
      </w:r>
      <w:r w:rsidR="000766A2">
        <w:t xml:space="preserve">Yet </w:t>
      </w:r>
      <w:r>
        <w:t xml:space="preserve">that claim, made originally on the basis that both sides had mistakenly “attached the wrong drawings” was hopeless, particularly in the light of certain emails from Pickstock emphasising that the Planning Drawings </w:t>
      </w:r>
      <w:r>
        <w:rPr>
          <w:u w:val="single"/>
        </w:rPr>
        <w:t>should</w:t>
      </w:r>
      <w:r>
        <w:t xml:space="preserve"> be attached, and also from the evidence of Ms Pickstock. It was therefore not surprising when this claim was correctly abandoned altogether in closing.</w:t>
      </w:r>
    </w:p>
    <w:p w:rsidR="00A36FFA" w:rsidRDefault="0009358C" w:rsidP="00DC01D1">
      <w:pPr>
        <w:pStyle w:val="TGLevel1"/>
      </w:pPr>
      <w:r>
        <w:t xml:space="preserve">But the fact that the Planning Drawings were </w:t>
      </w:r>
      <w:r w:rsidR="000766A2">
        <w:t xml:space="preserve">originally </w:t>
      </w:r>
      <w:r>
        <w:t>for the purposes of the planning application and that there might be later iterations as indeed there were, as at the date of the AFL does not</w:t>
      </w:r>
      <w:r w:rsidR="003331BF">
        <w:t xml:space="preserve"> help</w:t>
      </w:r>
      <w:r>
        <w:t xml:space="preserve"> Pickstock and PNS. That is because Clause 6.2.1 permit</w:t>
      </w:r>
      <w:r w:rsidR="003331BF">
        <w:t>s</w:t>
      </w:r>
      <w:r>
        <w:t xml:space="preserve"> variations with up to a 3% significance. Objectively speaking, that allows for the development from the Planning Drawings provided the changes</w:t>
      </w:r>
      <w:r w:rsidR="003331BF">
        <w:t xml:space="preserve"> are</w:t>
      </w:r>
      <w:r>
        <w:t xml:space="preserve"> not material. For that same reason, there is nothing commercially unworkable or nonsensical or even unreasonable in binding the parties to the Planning Drawings. Nor does their original status mean that they cannot be used for the purpose of calculating any 3% variation. I accept that as distinct from some later plans, the Planning Drawings areas were rounded to one decimal space as opposed to for example, t</w:t>
      </w:r>
      <w:r w:rsidR="003331BF">
        <w:t>w</w:t>
      </w:r>
      <w:r>
        <w:t xml:space="preserve">o decimal spaces. But I do not consider that in reality this made those drawings unworkable as the criteria by which to measure room size. </w:t>
      </w:r>
      <w:r w:rsidR="00A36FFA">
        <w:t>The same goes for a related point made by Mr Woolgar on behalf of PNS. This was that according to the Planning Drawings there would be some voids between rooms which he said would obviously not remain in the final construction of the Property. Quite so, but I fail to see how that deprives the Planning Drawings of the ability to set out what the areas of the individual rooms should be.</w:t>
      </w:r>
    </w:p>
    <w:p w:rsidR="009B5217" w:rsidRDefault="009B5217" w:rsidP="00DC01D1">
      <w:pPr>
        <w:pStyle w:val="TGLevel1"/>
      </w:pPr>
      <w:r>
        <w:t>A further point made by Mr Woolgar was that entry 125 of section A13 of the Preliminaries, contained within the Employers’ Requirements part of Annex A referred to approved layouts and area schedule contained in section 1.25 of those Requirements. Yet there was no section 1.25. I see that but it does not follow, objectively, that the Planning Drawings cannot govern.</w:t>
      </w:r>
    </w:p>
    <w:p w:rsidR="00DC01D1" w:rsidRDefault="0009358C" w:rsidP="00DC01D1">
      <w:pPr>
        <w:pStyle w:val="TGLevel1"/>
      </w:pPr>
      <w:r>
        <w:t xml:space="preserve">Objectively, both sides knew of the Planning Drawings and they knew they were to form part of Annex A. Indeed the pre-contract enquiries which themselves formed part of Annex A, and </w:t>
      </w:r>
      <w:r w:rsidR="003331BF">
        <w:t xml:space="preserve">thus </w:t>
      </w:r>
      <w:r>
        <w:t>part of the contract, said so.</w:t>
      </w:r>
      <w:r w:rsidR="008F3A15">
        <w:t xml:space="preserve"> In answer to the point that there were far more advanced designs than only the planning documentation came the answer that the Employer</w:t>
      </w:r>
      <w:r w:rsidR="00DD5C5C">
        <w:t>’s</w:t>
      </w:r>
      <w:r w:rsidR="008F3A15">
        <w:t xml:space="preserve"> Requirements were</w:t>
      </w:r>
      <w:r w:rsidR="003331BF">
        <w:t xml:space="preserve"> for</w:t>
      </w:r>
      <w:r w:rsidR="008F3A15">
        <w:t xml:space="preserve"> the planning approved scheme </w:t>
      </w:r>
      <w:r w:rsidR="003331BF">
        <w:t xml:space="preserve">(ie the Planning Drawings) </w:t>
      </w:r>
      <w:r w:rsidR="008F3A15">
        <w:t>and any other information would be in the Contractors Proposals. As to which Pickstock was to advise. But in the event Pickstock did not add the current drawings.</w:t>
      </w:r>
    </w:p>
    <w:p w:rsidR="008F3A15" w:rsidRDefault="008F3A15" w:rsidP="00DC01D1">
      <w:pPr>
        <w:pStyle w:val="TGLevel1"/>
      </w:pPr>
      <w:r>
        <w:t>Thus</w:t>
      </w:r>
      <w:r w:rsidR="003331BF">
        <w:t>,</w:t>
      </w:r>
      <w:r>
        <w:t xml:space="preserve"> subject to any other document, the parties agreed to be bound by the Planning Drawings subject to the 3% margin. Pickstock (and for that matter PNS</w:t>
      </w:r>
      <w:r w:rsidR="003331BF">
        <w:t>)</w:t>
      </w:r>
      <w:r>
        <w:t xml:space="preserve"> must have taken the view that there would be no problem with building to such of the later drawings as were current at the time of the AFL because either the 3% margin would not be exceeded</w:t>
      </w:r>
      <w:r w:rsidR="003331BF">
        <w:t xml:space="preserve">, or </w:t>
      </w:r>
      <w:r>
        <w:t>they could if necessary get Mears to agree an appropriate variation</w:t>
      </w:r>
      <w:r w:rsidR="003331BF">
        <w:t xml:space="preserve">; </w:t>
      </w:r>
      <w:r>
        <w:t>that was the</w:t>
      </w:r>
      <w:r w:rsidR="003331BF">
        <w:t xml:space="preserve"> </w:t>
      </w:r>
      <w:r>
        <w:t xml:space="preserve">commercial risk they took. And in truth (not that strictly, it is relevant) when one reads the evidence of Mears’ witnesses fairly and in substance, they did not accept that they did not expect the Planning Drawings to </w:t>
      </w:r>
      <w:r w:rsidR="003B40B3">
        <w:t xml:space="preserve">be </w:t>
      </w:r>
      <w:r w:rsidR="003331BF">
        <w:t xml:space="preserve">followed </w:t>
      </w:r>
      <w:r>
        <w:t>contractually whether called indicative or not, and whether there were other drawings or not.</w:t>
      </w:r>
    </w:p>
    <w:p w:rsidR="008F3A15" w:rsidRDefault="008F3A15" w:rsidP="00DC01D1">
      <w:pPr>
        <w:pStyle w:val="TGLevel1"/>
      </w:pPr>
      <w:r>
        <w:t>There were</w:t>
      </w:r>
      <w:r w:rsidR="000766A2">
        <w:t>,</w:t>
      </w:r>
      <w:r>
        <w:t xml:space="preserve"> of course</w:t>
      </w:r>
      <w:r w:rsidR="000766A2">
        <w:t>,</w:t>
      </w:r>
      <w:r>
        <w:t xml:space="preserve"> other drawings in Annex A. </w:t>
      </w:r>
      <w:r w:rsidR="000A3576">
        <w:t>First</w:t>
      </w:r>
      <w:r>
        <w:t>, the Elements Drawings. However they only dealt with some rooms, by type number and fo</w:t>
      </w:r>
      <w:r w:rsidR="003331BF">
        <w:t>r the most part did not diverge</w:t>
      </w:r>
      <w:r>
        <w:t xml:space="preserve"> very much if at all from the </w:t>
      </w:r>
      <w:r w:rsidR="003331BF">
        <w:t>P</w:t>
      </w:r>
      <w:r>
        <w:t xml:space="preserve">lanning </w:t>
      </w:r>
      <w:r w:rsidR="003331BF">
        <w:t>D</w:t>
      </w:r>
      <w:r>
        <w:t>rawings. So, for example, the Type I room was said to be 13.48</w:t>
      </w:r>
      <w:r w:rsidR="003331BF">
        <w:t>m²</w:t>
      </w:r>
      <w:r>
        <w:t xml:space="preserve"> instead of 13.5</w:t>
      </w:r>
      <w:r w:rsidR="003331BF">
        <w:t xml:space="preserve">m² </w:t>
      </w:r>
      <w:r>
        <w:t>in the Planning D</w:t>
      </w:r>
      <w:r w:rsidR="003331BF">
        <w:t xml:space="preserve">rawings. There was a divergence </w:t>
      </w:r>
      <w:r>
        <w:t xml:space="preserve">in one case which was for room 5 which could be linked to a specific room because it had a particular configuration. Here, Mears has accepted for the purpose of its claim that it cannot argue about that room when its actual size was no smaller than the 21.9 </w:t>
      </w:r>
      <w:r w:rsidR="003331BF">
        <w:t>m²</w:t>
      </w:r>
      <w:r>
        <w:t xml:space="preserve"> quoted in</w:t>
      </w:r>
      <w:r w:rsidR="00A51DC3">
        <w:t xml:space="preserve"> the Elements Drawings at C3/1219</w:t>
      </w:r>
      <w:r>
        <w:t>.</w:t>
      </w:r>
    </w:p>
    <w:p w:rsidR="008F3A15" w:rsidRDefault="008F3A15" w:rsidP="00DC01D1">
      <w:pPr>
        <w:pStyle w:val="TGLevel1"/>
      </w:pPr>
      <w:r>
        <w:t xml:space="preserve">One then turns to the Layout Drawings. These were not comprehensive either and for the most part did not contain specific references to areas. See for example those at C3/1229-1230, and 1242-1243. It is no answer to say that the areas could be calculated by using the scales accompanying each drawing. I fail to see why that exercise should be thought appropriate when, by contrast, one has a complete set of drawings for all rooms with areas clearly mark on them-i.e. the Planning Drawings. But again, where specific areas were shown on the Layout </w:t>
      </w:r>
      <w:r w:rsidR="003331BF">
        <w:t>Drawings (</w:t>
      </w:r>
      <w:r>
        <w:t>see the offices, reception and student lounge at C3/1252</w:t>
      </w:r>
      <w:r w:rsidR="003331BF">
        <w:t>)</w:t>
      </w:r>
      <w:r>
        <w:t>, Mears accepted that it would be bound by the areas shown there and so withdrew its claim in relation to the student lounge which had been said before to be too small.</w:t>
      </w:r>
    </w:p>
    <w:p w:rsidR="008F3A15" w:rsidRDefault="008F3A15" w:rsidP="00DC01D1">
      <w:pPr>
        <w:pStyle w:val="TGLevel1"/>
      </w:pPr>
      <w:r>
        <w:t>On any fair and objective view therefore, the only set of drawings which purported to be a complete specification in terms of at least area, for all of the rooms, were the Planning Drawings. In those circumstances, the notion that they should somehow be written out of Annex A altogether is misconceived.</w:t>
      </w:r>
    </w:p>
    <w:p w:rsidR="00D2183B" w:rsidRDefault="008F3A15" w:rsidP="00DC01D1">
      <w:pPr>
        <w:pStyle w:val="TGLevel1"/>
      </w:pPr>
      <w:r>
        <w:t xml:space="preserve">Moreover, they would have to be replaced by something else. Hence the argument that the “correct” drawings were the </w:t>
      </w:r>
      <w:r w:rsidR="000766A2">
        <w:t>C</w:t>
      </w:r>
      <w:r>
        <w:t xml:space="preserve">urrent </w:t>
      </w:r>
      <w:r w:rsidR="000766A2">
        <w:t>D</w:t>
      </w:r>
      <w:r>
        <w:t xml:space="preserve">rawings. </w:t>
      </w:r>
      <w:r w:rsidR="00D2183B">
        <w:t>However, there is no basis for somehow importing them, as a matter of construction, as a replacement for the Planning Drawings, because</w:t>
      </w:r>
    </w:p>
    <w:p w:rsidR="00D2183B" w:rsidRDefault="00D2183B" w:rsidP="00D2183B">
      <w:pPr>
        <w:pStyle w:val="TGLevel2"/>
      </w:pPr>
      <w:r>
        <w:t>they were not referred to in Annex A on the express basis that it was not thought necessary (see the Pre-Contract Enquiries);</w:t>
      </w:r>
    </w:p>
    <w:p w:rsidR="00D2183B" w:rsidRDefault="00D2183B" w:rsidP="00D2183B">
      <w:pPr>
        <w:pStyle w:val="TGLevel2"/>
      </w:pPr>
      <w:r>
        <w:t>Mears had not</w:t>
      </w:r>
      <w:r w:rsidR="00A51DC3">
        <w:t xml:space="preserve"> even seen them at that stage;</w:t>
      </w:r>
    </w:p>
    <w:p w:rsidR="00D2183B" w:rsidRDefault="00D2183B" w:rsidP="00D2183B">
      <w:pPr>
        <w:pStyle w:val="TGLevel2"/>
      </w:pPr>
      <w:r>
        <w:t>Clause 6.2.1 and Annex A work</w:t>
      </w:r>
      <w:r w:rsidR="003331BF">
        <w:t>s</w:t>
      </w:r>
      <w:r>
        <w:t xml:space="preserve"> perfectly well with the Planning Drawings. Again, objectively, it was a matter for Pickstock (and PNS</w:t>
      </w:r>
      <w:r w:rsidR="0002148A">
        <w:t>)</w:t>
      </w:r>
      <w:r>
        <w:t xml:space="preserve"> to decide whether or not to risk the fact that the rooms as built might end up in excess of the 3% margin;</w:t>
      </w:r>
    </w:p>
    <w:p w:rsidR="008F3A15" w:rsidRDefault="00D2183B" w:rsidP="00D2183B">
      <w:pPr>
        <w:pStyle w:val="TGLevel2"/>
      </w:pPr>
      <w:r>
        <w:t>even the drawings current as at the date of the AFL were to some extent work-in-progress and not the final word;</w:t>
      </w:r>
      <w:r w:rsidR="00A51DC3">
        <w:t xml:space="preserve"> and</w:t>
      </w:r>
    </w:p>
    <w:p w:rsidR="00D31A71" w:rsidRDefault="009250EB" w:rsidP="00D2183B">
      <w:pPr>
        <w:pStyle w:val="TGLevel2"/>
      </w:pPr>
      <w:r>
        <w:t>the fact that Annex A was not drafted by lawyers is irrelevant.</w:t>
      </w:r>
      <w:r w:rsidR="00D31A71">
        <w:t xml:space="preserve"> Those involved with putting together Annex A were after all experienced in construction, one way or the other and the point about the status of the Planning Drawings had been expressly raised and considered.</w:t>
      </w:r>
    </w:p>
    <w:p w:rsidR="00D31A71" w:rsidRDefault="00D31A71" w:rsidP="00D31A71">
      <w:pPr>
        <w:pStyle w:val="TGLevel1"/>
      </w:pPr>
      <w:r>
        <w:t xml:space="preserve">Accordingly, however the matter is put, I reject the construction argument that would have the effect of giving primacy for the purpose of </w:t>
      </w:r>
      <w:r w:rsidR="00A152D1">
        <w:t>Clause</w:t>
      </w:r>
      <w:r>
        <w:t xml:space="preserve"> 6.2.1 and for the definition of Building Documents, to current design drawings or some such which were not even part of Annex A, and disregarding the Planning Drawings.</w:t>
      </w:r>
    </w:p>
    <w:p w:rsidR="00D31A71" w:rsidRDefault="00D31A71" w:rsidP="00D31A71">
      <w:pPr>
        <w:pStyle w:val="Heading1"/>
      </w:pPr>
      <w:r>
        <w:t xml:space="preserve">Implied term </w:t>
      </w:r>
    </w:p>
    <w:p w:rsidR="00AF70AF" w:rsidRDefault="003331BF" w:rsidP="00D31A71">
      <w:pPr>
        <w:pStyle w:val="TGLevel1"/>
      </w:pPr>
      <w:r>
        <w:t>Pickstock contends that if it</w:t>
      </w:r>
      <w:r w:rsidR="00AF70AF">
        <w:t>s construction argument fails, then there should be an implied term to the same effect i.e. that the current design drawings should be the object of Clause 6.2.1.</w:t>
      </w:r>
    </w:p>
    <w:p w:rsidR="00D31A71" w:rsidRDefault="00AF70AF" w:rsidP="0002148A">
      <w:pPr>
        <w:pStyle w:val="TGLevel1"/>
        <w:spacing w:after="0"/>
      </w:pPr>
      <w:r>
        <w:t>T</w:t>
      </w:r>
      <w:r w:rsidR="00D31A71">
        <w:t xml:space="preserve">he test for the implication of implied terms is well-known. I refer simply to the head note of the report of the decision of the Supreme Court in </w:t>
      </w:r>
      <w:r w:rsidR="00D31A71" w:rsidRPr="00D31A71">
        <w:rPr>
          <w:i/>
        </w:rPr>
        <w:t>Marks &amp; Spencer v BNP Paribas</w:t>
      </w:r>
      <w:r w:rsidR="00D31A71">
        <w:t xml:space="preserve"> [2015] UKSC 71: </w:t>
      </w:r>
    </w:p>
    <w:p w:rsidR="00D31A71" w:rsidRPr="00D31A71" w:rsidRDefault="00D31A71" w:rsidP="0002148A">
      <w:pPr>
        <w:pStyle w:val="TGLevel1"/>
        <w:numPr>
          <w:ilvl w:val="0"/>
          <w:numId w:val="0"/>
        </w:numPr>
        <w:spacing w:after="0"/>
        <w:ind w:left="1440"/>
        <w:rPr>
          <w:sz w:val="20"/>
          <w:szCs w:val="20"/>
        </w:rPr>
      </w:pPr>
      <w:r w:rsidRPr="00D31A71">
        <w:rPr>
          <w:sz w:val="20"/>
          <w:szCs w:val="20"/>
        </w:rPr>
        <w:t xml:space="preserve">“a term would be implied into a detailed commercial contract only if that were necessary to give the contract business efficacy </w:t>
      </w:r>
      <w:r w:rsidR="00A57CCA">
        <w:rPr>
          <w:sz w:val="20"/>
          <w:szCs w:val="20"/>
        </w:rPr>
        <w:t xml:space="preserve">or </w:t>
      </w:r>
      <w:r w:rsidRPr="00D31A71">
        <w:rPr>
          <w:sz w:val="20"/>
          <w:szCs w:val="20"/>
        </w:rPr>
        <w:t>so obvious that it went without saying; the implication of a term was not critically dependent on proof of an actual intention of the parties when negotiating the contract but was concerned with what notional reasonable people in the position of the parties at the time at which they had been contracting, would have agreed; and that it was a necessary but not sufficient condition for implying a term that it appeared fair or that the court considered that the parties would have agreed it if it had been suggested to them.”</w:t>
      </w:r>
    </w:p>
    <w:p w:rsidR="00AF70AF" w:rsidRDefault="00AF70AF" w:rsidP="00AF70AF">
      <w:pPr>
        <w:pStyle w:val="TGLevel1"/>
      </w:pPr>
      <w:r>
        <w:t>For all the reasons given in the context of my analysis of the construction argument, it cannot possibly be said that the claimed implied term is necessary to give business efficacy to the AFL. It can work perfectly well without it. Equally, it cannot be said to have been so obvious that it goes without saying. It might (especially with hindsight) have been a term which was highly desirable or reasonable from the point of view of Pickstock and PNS but that is not sufficient to imply the term. This conclusion is reinforced by the fact that in truth the claimed term is not really filling a gap in the contract</w:t>
      </w:r>
      <w:r w:rsidR="0002148A">
        <w:t xml:space="preserve">; </w:t>
      </w:r>
      <w:r>
        <w:t>it is changing</w:t>
      </w:r>
      <w:r w:rsidR="0002148A">
        <w:t xml:space="preserve"> </w:t>
      </w:r>
      <w:r>
        <w:t xml:space="preserve">and </w:t>
      </w:r>
      <w:r w:rsidR="0002148A">
        <w:t xml:space="preserve">is </w:t>
      </w:r>
      <w:r>
        <w:t>inconsistent with</w:t>
      </w:r>
      <w:r w:rsidR="0002148A">
        <w:t xml:space="preserve"> </w:t>
      </w:r>
      <w:r>
        <w:t>the express language of the contract.</w:t>
      </w:r>
    </w:p>
    <w:p w:rsidR="00AF70AF" w:rsidRDefault="00AF70AF" w:rsidP="00AF70AF">
      <w:pPr>
        <w:pStyle w:val="TGLevel1"/>
      </w:pPr>
      <w:r>
        <w:t>Accordingly, this argument must also fail.</w:t>
      </w:r>
    </w:p>
    <w:p w:rsidR="00AF70AF" w:rsidRDefault="00AF70AF" w:rsidP="00AF70AF">
      <w:pPr>
        <w:pStyle w:val="Heading2"/>
      </w:pPr>
      <w:r>
        <w:t>Conclusion</w:t>
      </w:r>
    </w:p>
    <w:p w:rsidR="00565EFE" w:rsidRDefault="003331BF" w:rsidP="00460AB2">
      <w:pPr>
        <w:pStyle w:val="TGLevel1"/>
      </w:pPr>
      <w:r>
        <w:t>I</w:t>
      </w:r>
      <w:r w:rsidR="00AF70AF">
        <w:t>t follows that Clause 6.2.1 remains as it is</w:t>
      </w:r>
      <w:r w:rsidR="00565EFE">
        <w:t xml:space="preserve">. </w:t>
      </w:r>
    </w:p>
    <w:p w:rsidR="00460AB2" w:rsidRDefault="00460AB2" w:rsidP="00565EFE">
      <w:pPr>
        <w:pStyle w:val="Heading1"/>
      </w:pPr>
      <w:r>
        <w:t>The meaning of “distinct area”</w:t>
      </w:r>
    </w:p>
    <w:p w:rsidR="00460AB2" w:rsidRDefault="00460AB2" w:rsidP="00460AB2">
      <w:pPr>
        <w:pStyle w:val="TGLevel1"/>
      </w:pPr>
      <w:bookmarkStart w:id="3" w:name="_Ref531698570"/>
      <w:r>
        <w:t>Mears contend</w:t>
      </w:r>
      <w:r w:rsidR="00565EFE">
        <w:t>s t</w:t>
      </w:r>
      <w:r>
        <w:t>hat for the purpose</w:t>
      </w:r>
      <w:r w:rsidR="00565EFE">
        <w:t>s</w:t>
      </w:r>
      <w:r>
        <w:t xml:space="preserve"> of Clause 6.2.1, a </w:t>
      </w:r>
      <w:r w:rsidR="0002148A">
        <w:t>“</w:t>
      </w:r>
      <w:r>
        <w:t>distinct area</w:t>
      </w:r>
      <w:r w:rsidR="0002148A">
        <w:t>”</w:t>
      </w:r>
      <w:r>
        <w:t xml:space="preserve"> includes any room in the Property. Pickstock and PNS do not accept this. Pickstock suggests that a distinct area must connote an area much larger than a single room, something like the overall footprint of each of Blocks A and B. PNS says that in any event a distinct area cannot be a room because the only areas given for all the rooms in the documents appended to the AFL are contained within the Planning Drawings which are themselves indicative only.</w:t>
      </w:r>
      <w:bookmarkEnd w:id="3"/>
    </w:p>
    <w:p w:rsidR="00BB21BB" w:rsidRDefault="00460AB2" w:rsidP="00460AB2">
      <w:pPr>
        <w:pStyle w:val="TGLevel1"/>
      </w:pPr>
      <w:r>
        <w:t xml:space="preserve">In my view, Mears is correct for the following reasons. </w:t>
      </w:r>
      <w:r w:rsidR="00BB21BB">
        <w:t>First</w:t>
      </w:r>
      <w:r>
        <w:t xml:space="preserve">, while the Property is defined as the whole building, that says very little about a deeming provision whose purpose is </w:t>
      </w:r>
      <w:r w:rsidR="0002148A">
        <w:t xml:space="preserve">to define what is material in one respect, </w:t>
      </w:r>
      <w:r>
        <w:t>for the avoidance of doubt</w:t>
      </w:r>
      <w:r w:rsidR="00BB21BB">
        <w:t>. A distinct area is obviously something less than the Property. Secondly, by reference to the Building Documents, it makes sense to interpret distinct areas as including rooms for the very reason that they are all given sizes in the Planning Drawings. Thus, subject to any question of the status of the Planning Drawings (which I have resolved above) one can work out whether there has been a material deviation in the size of any particular room. If so, it is hard to see why that should not constitute a distinct area. Thirdly, given the nature of a building containing student flats and ancillary facilities that are to be marketed commercially, it makes sense to have size requirements for all of them which have contractual effect. On any view, the size and shape of the rooms are important. Fourthly, to say instead that distinct area must be limited to the overall size or footprint of Blocks A and B is arbitrary. It is so because it seems to me to be just an attempt to find some area other than that of the Property as a whole to which the expression “distinct area” could apply but without going so far as the more natural location which would be individual rooms.</w:t>
      </w:r>
    </w:p>
    <w:p w:rsidR="00BB21BB" w:rsidRDefault="00BB21BB" w:rsidP="00460AB2">
      <w:pPr>
        <w:pStyle w:val="TGLevel1"/>
      </w:pPr>
      <w:r>
        <w:t>As for the argument that if Mears is right it could lead to all sorts of claims and challenges to practical completion even for minor breaches, that begs the question. On my analysis,</w:t>
      </w:r>
      <w:r w:rsidR="00565EFE">
        <w:t xml:space="preserve"> just because there are one or two</w:t>
      </w:r>
      <w:r>
        <w:t xml:space="preserve"> breaches of Clause 6.2.1 </w:t>
      </w:r>
      <w:r w:rsidR="00565EFE">
        <w:t>(</w:t>
      </w:r>
      <w:r>
        <w:t xml:space="preserve">because one or </w:t>
      </w:r>
      <w:r w:rsidR="00565EFE">
        <w:t>two</w:t>
      </w:r>
      <w:r>
        <w:t xml:space="preserve"> rooms as “distinct areas” have been made to</w:t>
      </w:r>
      <w:r w:rsidR="0002148A">
        <w:t>o</w:t>
      </w:r>
      <w:r>
        <w:t xml:space="preserve"> small</w:t>
      </w:r>
      <w:r w:rsidR="00565EFE">
        <w:t>)</w:t>
      </w:r>
      <w:r>
        <w:t xml:space="preserve">, it does not follow that </w:t>
      </w:r>
      <w:r w:rsidR="00565EFE">
        <w:t>p</w:t>
      </w:r>
      <w:r>
        <w:t xml:space="preserve">ractical </w:t>
      </w:r>
      <w:r w:rsidR="00565EFE">
        <w:t>c</w:t>
      </w:r>
      <w:r>
        <w:t>ompletion cannot be certified or indeed that there would be a claim for a significant amount of damages. See my analysis above. Thus the spectre of one bin store being sma</w:t>
      </w:r>
      <w:r w:rsidR="00565EFE">
        <w:t>ller than specified preventing p</w:t>
      </w:r>
      <w:r>
        <w:t xml:space="preserve">ractical </w:t>
      </w:r>
      <w:r w:rsidR="00565EFE">
        <w:t>c</w:t>
      </w:r>
      <w:r>
        <w:t>ompletion is not a realistic one.</w:t>
      </w:r>
    </w:p>
    <w:p w:rsidR="00460AB2" w:rsidRDefault="0002148A" w:rsidP="00460AB2">
      <w:pPr>
        <w:pStyle w:val="TGLevel1"/>
      </w:pPr>
      <w:r>
        <w:t xml:space="preserve">Equally, </w:t>
      </w:r>
      <w:r w:rsidR="00BB21BB">
        <w:t xml:space="preserve">there is no reason to apply the </w:t>
      </w:r>
      <w:r w:rsidR="00565EFE">
        <w:t>“</w:t>
      </w:r>
      <w:r w:rsidR="00BB21BB">
        <w:t>distinct area</w:t>
      </w:r>
      <w:r w:rsidR="00565EFE">
        <w:t>”</w:t>
      </w:r>
      <w:r w:rsidR="00BB21BB">
        <w:t xml:space="preserve"> classification </w:t>
      </w:r>
      <w:r w:rsidR="00565EFE">
        <w:t>to</w:t>
      </w:r>
      <w:r w:rsidR="00BB21BB">
        <w:t xml:space="preserve"> bedrooms only and not other rooms which is an alternative argument made by Pickstock. Suppose that all of the kitchens were made to</w:t>
      </w:r>
      <w:r w:rsidR="00565EFE">
        <w:t>o</w:t>
      </w:r>
      <w:r w:rsidR="00BB21BB">
        <w:t xml:space="preserve"> small</w:t>
      </w:r>
      <w:r w:rsidR="00565EFE">
        <w:t>. S</w:t>
      </w:r>
      <w:r w:rsidR="00BB21BB">
        <w:t>urely it could not be said</w:t>
      </w:r>
      <w:r w:rsidR="00565EFE">
        <w:t xml:space="preserve"> this could never </w:t>
      </w:r>
      <w:r w:rsidR="00BB21BB">
        <w:t>amount to a breach of contract at all.</w:t>
      </w:r>
    </w:p>
    <w:p w:rsidR="00DC01D1" w:rsidRDefault="00BB21BB" w:rsidP="00460AB2">
      <w:pPr>
        <w:pStyle w:val="TGLevel1"/>
      </w:pPr>
      <w:r>
        <w:t xml:space="preserve">Finally, there is nothing in the point that the Planning Drawings are indicative only so that a room cannot be a “distinct area”. That is because I have already found that this is not their correct status and that they do govern </w:t>
      </w:r>
      <w:r w:rsidR="00A152D1">
        <w:t>Clause</w:t>
      </w:r>
      <w:r>
        <w:t xml:space="preserve"> 6.2.1.</w:t>
      </w:r>
    </w:p>
    <w:p w:rsidR="00BB21BB" w:rsidRDefault="00DC01D1" w:rsidP="00460AB2">
      <w:pPr>
        <w:pStyle w:val="TGLevel1"/>
      </w:pPr>
      <w:r>
        <w:t>Accordingly, every room in the Property is a distinct area for the purposes of Clause 6.2.1</w:t>
      </w:r>
      <w:r w:rsidR="00C436A6">
        <w:t>.</w:t>
      </w:r>
    </w:p>
    <w:p w:rsidR="00C436A6" w:rsidRDefault="00C436A6" w:rsidP="00C436A6">
      <w:pPr>
        <w:pStyle w:val="Heading1"/>
      </w:pPr>
      <w:r>
        <w:t xml:space="preserve">Estoppel </w:t>
      </w:r>
    </w:p>
    <w:p w:rsidR="00C436A6" w:rsidRDefault="00C436A6" w:rsidP="00C436A6">
      <w:pPr>
        <w:pStyle w:val="Heading2"/>
      </w:pPr>
      <w:r>
        <w:t xml:space="preserve">Introduction </w:t>
      </w:r>
    </w:p>
    <w:p w:rsidR="00C436A6" w:rsidRDefault="00C436A6" w:rsidP="00460AB2">
      <w:pPr>
        <w:pStyle w:val="TGLevel1"/>
      </w:pPr>
      <w:r>
        <w:t xml:space="preserve">Both Pickstock and PNS raise estoppel arguments as against Mears’ ability to allege that in breach of Clause 6.2.1, the rooms complained of are too small, by reference to the Planning Drawings when they would not be too small by reference to the </w:t>
      </w:r>
      <w:r w:rsidR="0002148A">
        <w:t>C</w:t>
      </w:r>
      <w:r>
        <w:t xml:space="preserve">urrent </w:t>
      </w:r>
      <w:r w:rsidR="0002148A">
        <w:t>D</w:t>
      </w:r>
      <w:r>
        <w:t>rawings.</w:t>
      </w:r>
    </w:p>
    <w:p w:rsidR="00C436A6" w:rsidRDefault="00C436A6" w:rsidP="00460AB2">
      <w:pPr>
        <w:pStyle w:val="TGLevel1"/>
      </w:pPr>
      <w:r>
        <w:t>In paragraph 48 of its Defence and Counterclaim, Pickstock alleges that Mears was provided with the relevant current drawings and used them. By way of example, Mears and JRP had access to the OpCenter, where all the drawings were electronically saved and updated, and on occasion, drawings were downloaded from it by Mears and JRP. They also referred to drawings and revisions on various occasions.</w:t>
      </w:r>
    </w:p>
    <w:p w:rsidR="005E58F6" w:rsidRDefault="005E58F6" w:rsidP="00460AB2">
      <w:pPr>
        <w:pStyle w:val="TGLevel1"/>
      </w:pPr>
      <w:r>
        <w:t>Furthermore, and by way of example, paragraph 48.3.1 states that following some emails room sizes were discussed and utilised for</w:t>
      </w:r>
      <w:r w:rsidR="0002148A">
        <w:t xml:space="preserve"> </w:t>
      </w:r>
      <w:r>
        <w:t>marketing/letting purposes and there were marketing discussions on 21 October 2016 and further ones up to February 2017. And in paragraph 48.3.2, that after a request for “latest drawings” on 31 January 2017 JRP was sent all current drawings. Paragraph 48.3.3 said th</w:t>
      </w:r>
      <w:r w:rsidR="0002148A">
        <w:t>at emails on the 29 June and 7 A</w:t>
      </w:r>
      <w:r>
        <w:t>ugust 2017 sent by Elements provided to Mears cop</w:t>
      </w:r>
      <w:r w:rsidR="0002148A">
        <w:t xml:space="preserve">ies </w:t>
      </w:r>
      <w:r>
        <w:t>of the latest Elements drawings for th</w:t>
      </w:r>
      <w:r w:rsidR="0002148A">
        <w:t>e modular room types. P</w:t>
      </w:r>
      <w:r>
        <w:t xml:space="preserve">aragraph 48.3.4 </w:t>
      </w:r>
      <w:r w:rsidR="0002148A">
        <w:t xml:space="preserve">says </w:t>
      </w:r>
      <w:r>
        <w:t>that Mears had visited Elements</w:t>
      </w:r>
      <w:r w:rsidR="00B21BE5">
        <w:t xml:space="preserve">’ </w:t>
      </w:r>
      <w:r>
        <w:t>factory to inspect a prototype</w:t>
      </w:r>
      <w:r w:rsidR="0002148A">
        <w:t>. I</w:t>
      </w:r>
      <w:r>
        <w:t>t was further said that when Mears sent out Notices</w:t>
      </w:r>
      <w:r w:rsidR="00B21BE5">
        <w:t xml:space="preserve"> on other defects</w:t>
      </w:r>
      <w:r>
        <w:t>, it relied upon the revised drawings</w:t>
      </w:r>
      <w:r w:rsidR="00B21BE5">
        <w:t>,</w:t>
      </w:r>
      <w:r>
        <w:t xml:space="preserve"> and made no complaint about room sizes until </w:t>
      </w:r>
      <w:r w:rsidR="00B21BE5">
        <w:t xml:space="preserve">Defect Notice No. 13, dated </w:t>
      </w:r>
      <w:r>
        <w:t>4 May 2018</w:t>
      </w:r>
      <w:r w:rsidR="00B21BE5">
        <w:t xml:space="preserve"> (“the May Notice”)</w:t>
      </w:r>
      <w:r>
        <w:t xml:space="preserve">. </w:t>
      </w:r>
      <w:r w:rsidR="00B21BE5">
        <w:t xml:space="preserve">This </w:t>
      </w:r>
      <w:r>
        <w:t>was itself withdrawn and not replaced until 17 August 2018. To the extent necessary, Pickstock also alleged in paragraph 49 that Mears had a duty to speak (i.e. to express the view that some of the rooms were incorrectly sized, by reference to the Planning Drawings</w:t>
      </w:r>
      <w:r w:rsidR="00B21BE5">
        <w:t>)</w:t>
      </w:r>
      <w:r>
        <w:t>, earlier than when they did by which time it was too late to do anything about it.</w:t>
      </w:r>
    </w:p>
    <w:p w:rsidR="005E58F6" w:rsidRDefault="005E58F6" w:rsidP="00460AB2">
      <w:pPr>
        <w:pStyle w:val="TGLevel1"/>
      </w:pPr>
      <w:r>
        <w:t>A</w:t>
      </w:r>
      <w:r w:rsidR="002F77A3">
        <w:t xml:space="preserve">t </w:t>
      </w:r>
      <w:r>
        <w:t>rather shorter length, PNS made similar points in paragraph 32 and 33 of its Amended Defence and Counterclaim.</w:t>
      </w:r>
    </w:p>
    <w:p w:rsidR="00B21BE5" w:rsidRDefault="00B21BE5" w:rsidP="00460AB2">
      <w:pPr>
        <w:pStyle w:val="TGLevel1"/>
      </w:pPr>
      <w:r>
        <w:t>In an extensive section of its Co</w:t>
      </w:r>
      <w:r w:rsidR="00A51DC3">
        <w:t xml:space="preserve">nsolidated </w:t>
      </w:r>
      <w:r>
        <w:t>Reply and Defence to Counterclaim at paragraphs 23-39, Mears denied that any kind of estoppel arose. I will deal with its particular points in context below.</w:t>
      </w:r>
    </w:p>
    <w:p w:rsidR="00EB0297" w:rsidRDefault="00EB0297" w:rsidP="00EB0297">
      <w:pPr>
        <w:pStyle w:val="TGLevel1"/>
      </w:pPr>
      <w:r>
        <w:t>At this point I should recite how the complaint as to sizes actually emerged. Mr Collins had been appointed to assist JRP in late February 2018. His first visit to the Property was on about 14 March. He made himself aware of the contractual obligations of Pickstock and PNS to Mears (his ultimate client) in the AFL. In April, he was becoming concerned about the gradient of some of the slopes and ramps at the property. While discussing this with a surveyor at JRP he re-read the AFL and in particular Clause 6.2.1. He wanted to be sure that the rooms had all been constructed within the 3% tolerance. So he instructed a junior surveyor at JRP to measure the size of the rooms by reference to the Planning Drawings in Annex A. He had ascertained that JRP had not undertaken any such measurements before. The re-measurement appeared to show significant reductions in size in around 40 rooms. This led to the issue of the May Notice. Upon enquiry by Pickstock, it was made clear that the measurements were done by reference to the Planning Drawings annexed to the AFL.</w:t>
      </w:r>
    </w:p>
    <w:p w:rsidR="00EB0297" w:rsidRDefault="00EB0297" w:rsidP="00EB0297">
      <w:pPr>
        <w:pStyle w:val="TGLevel1"/>
      </w:pPr>
      <w:r>
        <w:t>As it turned out, the measurement exercise performed for Mr Collins was discovered by him not to have been accurate and so the May Notice was withdrawn. In his evidence, Mr O’Connor was not entirely sure whether in fact it had been withdrawn as opposed to being reissued in some other way. But this does not matter. It is not suggested that Pickstock and PNS were not alerted to the basis on which Mears was measuring. The May Notice was then superseded by a further Defect Notice in the form of a</w:t>
      </w:r>
      <w:r w:rsidR="0000457A">
        <w:t xml:space="preserve"> letter dated 20 August 2018 (“</w:t>
      </w:r>
      <w:r>
        <w:t>the August Notice”). It is this which formed the basis for the current complaint. It is right that it took some time to emerge but according to Mr Collins and JRP that was because Pickstock was refusing access for a significant amount of time. On any view there were discussions or disputes between the parties as to right to access and that explains the delay. Some of the rooms complained of in the August Notice had also featured in the May Notice but other ones had not.</w:t>
      </w:r>
    </w:p>
    <w:p w:rsidR="005E58F6" w:rsidRDefault="002F77A3" w:rsidP="002F77A3">
      <w:pPr>
        <w:pStyle w:val="Heading2"/>
      </w:pPr>
      <w:r>
        <w:t xml:space="preserve">The Law </w:t>
      </w:r>
    </w:p>
    <w:p w:rsidR="002F77A3" w:rsidRDefault="00B21BE5" w:rsidP="00460AB2">
      <w:pPr>
        <w:pStyle w:val="TGLevel1"/>
      </w:pPr>
      <w:r>
        <w:t xml:space="preserve">As developed during trial, and </w:t>
      </w:r>
      <w:r w:rsidR="002F77A3">
        <w:t>closing argument</w:t>
      </w:r>
      <w:r>
        <w:t>s</w:t>
      </w:r>
      <w:r w:rsidR="002F77A3">
        <w:t xml:space="preserve">, the principal way in which the allegation was put was estoppel by convention. That is not surprising because in truth it </w:t>
      </w:r>
      <w:r>
        <w:t xml:space="preserve">would have been </w:t>
      </w:r>
      <w:r w:rsidR="002F77A3">
        <w:t xml:space="preserve">extremely difficult to show any clear and unequivocal representation made by Mears to the effect that Pickstock </w:t>
      </w:r>
      <w:r>
        <w:t xml:space="preserve">was contractually entitled to </w:t>
      </w:r>
      <w:r w:rsidR="002F77A3">
        <w:t xml:space="preserve">build </w:t>
      </w:r>
      <w:r w:rsidR="003B40B3">
        <w:t xml:space="preserve">not </w:t>
      </w:r>
      <w:r w:rsidR="002F77A3">
        <w:t>according to the sizes shown in the Planning Drawings</w:t>
      </w:r>
      <w:r>
        <w:t xml:space="preserve"> but rather those in the Current Drawings</w:t>
      </w:r>
      <w:r w:rsidR="002F77A3">
        <w:t xml:space="preserve">. </w:t>
      </w:r>
      <w:r>
        <w:t xml:space="preserve">Accordingly, there was no prospect of a successful plea of estoppel by representation. </w:t>
      </w:r>
      <w:r w:rsidR="002F77A3">
        <w:t>So I concentrate on the former estoppel.</w:t>
      </w:r>
    </w:p>
    <w:p w:rsidR="005E58F6" w:rsidRDefault="00BC0CEF">
      <w:pPr>
        <w:pStyle w:val="TGLevel1"/>
      </w:pPr>
      <w:r>
        <w:t xml:space="preserve">The various authorities were reviewed by Briggs J (as he then was) in </w:t>
      </w:r>
      <w:r>
        <w:rPr>
          <w:i/>
        </w:rPr>
        <w:t>HMRC v Benchdollar Limited</w:t>
      </w:r>
      <w:r>
        <w:t xml:space="preserve"> [2010] 1 All ER 174, at paragraph 52. He said as follows:</w:t>
      </w:r>
    </w:p>
    <w:p w:rsidR="00BC0CEF" w:rsidRDefault="00BC0CEF" w:rsidP="0000457A">
      <w:pPr>
        <w:pStyle w:val="TGLevel1"/>
        <w:numPr>
          <w:ilvl w:val="0"/>
          <w:numId w:val="0"/>
        </w:numPr>
        <w:spacing w:after="0"/>
        <w:ind w:left="1440"/>
        <w:rPr>
          <w:sz w:val="20"/>
          <w:szCs w:val="20"/>
        </w:rPr>
      </w:pPr>
      <w:r>
        <w:rPr>
          <w:sz w:val="20"/>
          <w:szCs w:val="20"/>
        </w:rPr>
        <w:t>“i) It is not enough that the common assumption upon which the estoppel is based is merely understood by the parties in the same way. It must be expressly, [or implicitly by words or conduct from which the necessary sharing can properly be inferred,] shared between them,</w:t>
      </w:r>
    </w:p>
    <w:p w:rsidR="00BC0CEF" w:rsidRDefault="00BC0CEF" w:rsidP="0000457A">
      <w:pPr>
        <w:pStyle w:val="TGLevel1"/>
        <w:numPr>
          <w:ilvl w:val="0"/>
          <w:numId w:val="0"/>
        </w:numPr>
        <w:spacing w:after="0"/>
        <w:ind w:left="1440"/>
        <w:rPr>
          <w:sz w:val="20"/>
          <w:szCs w:val="20"/>
        </w:rPr>
      </w:pPr>
      <w:r>
        <w:rPr>
          <w:sz w:val="20"/>
          <w:szCs w:val="20"/>
        </w:rPr>
        <w:t xml:space="preserve">ii)  The expression of the common assumption by the party alleged to be </w:t>
      </w:r>
      <w:r w:rsidR="00A57CCA">
        <w:rPr>
          <w:sz w:val="20"/>
          <w:szCs w:val="20"/>
        </w:rPr>
        <w:t>e</w:t>
      </w:r>
      <w:r>
        <w:rPr>
          <w:sz w:val="20"/>
          <w:szCs w:val="20"/>
        </w:rPr>
        <w:t>stopped must be such that he may properly be said to have assumed some element of responsibility for it, in the sense of conveying to the other party and understanding that he expected the other party to rely upon it.</w:t>
      </w:r>
    </w:p>
    <w:p w:rsidR="00BC0CEF" w:rsidRDefault="00BC0CEF" w:rsidP="0000457A">
      <w:pPr>
        <w:pStyle w:val="TGLevel1"/>
        <w:numPr>
          <w:ilvl w:val="0"/>
          <w:numId w:val="0"/>
        </w:numPr>
        <w:spacing w:after="0"/>
        <w:ind w:left="1440"/>
        <w:rPr>
          <w:sz w:val="20"/>
          <w:szCs w:val="20"/>
        </w:rPr>
      </w:pPr>
      <w:r>
        <w:rPr>
          <w:sz w:val="20"/>
          <w:szCs w:val="20"/>
        </w:rPr>
        <w:t xml:space="preserve">iii) The person alleging the estoppel must in fact have relied upon the common assumption, to a sufficient extent, rather than merely upon his own </w:t>
      </w:r>
      <w:r w:rsidR="00A51DC3">
        <w:rPr>
          <w:sz w:val="20"/>
          <w:szCs w:val="20"/>
        </w:rPr>
        <w:t>independent view of the matter.</w:t>
      </w:r>
    </w:p>
    <w:p w:rsidR="00BC0CEF" w:rsidRDefault="00A57CCA" w:rsidP="0000457A">
      <w:pPr>
        <w:pStyle w:val="TGLevel1"/>
        <w:numPr>
          <w:ilvl w:val="0"/>
          <w:numId w:val="0"/>
        </w:numPr>
        <w:spacing w:after="0"/>
        <w:ind w:left="1440"/>
        <w:rPr>
          <w:sz w:val="20"/>
          <w:szCs w:val="20"/>
        </w:rPr>
      </w:pPr>
      <w:r>
        <w:rPr>
          <w:sz w:val="20"/>
          <w:szCs w:val="20"/>
        </w:rPr>
        <w:t>iv) T</w:t>
      </w:r>
      <w:r w:rsidR="00BC0CEF">
        <w:rPr>
          <w:sz w:val="20"/>
          <w:szCs w:val="20"/>
        </w:rPr>
        <w:t>hat reliance must have occurred in connection with some subsequent mutu</w:t>
      </w:r>
      <w:r w:rsidR="00BC0CEF" w:rsidRPr="00A51DC3">
        <w:rPr>
          <w:sz w:val="20"/>
          <w:szCs w:val="20"/>
        </w:rPr>
        <w:t>a</w:t>
      </w:r>
      <w:r w:rsidR="00BC0CEF">
        <w:rPr>
          <w:sz w:val="20"/>
          <w:szCs w:val="20"/>
        </w:rPr>
        <w:t>l dealing between the parties.</w:t>
      </w:r>
    </w:p>
    <w:p w:rsidR="00BC0CEF" w:rsidRDefault="00BC0CEF" w:rsidP="0000457A">
      <w:pPr>
        <w:pStyle w:val="TGLevel1"/>
        <w:numPr>
          <w:ilvl w:val="0"/>
          <w:numId w:val="0"/>
        </w:numPr>
        <w:spacing w:after="0"/>
        <w:ind w:left="1440"/>
        <w:rPr>
          <w:sz w:val="20"/>
          <w:szCs w:val="20"/>
        </w:rPr>
      </w:pPr>
      <w:r>
        <w:rPr>
          <w:sz w:val="20"/>
          <w:szCs w:val="20"/>
        </w:rPr>
        <w:t xml:space="preserve">v)  Some detriment must thereby have been suffered by the person alleging the estoppel, or benefit thereby have been conferred upon the person alleged to be </w:t>
      </w:r>
      <w:r w:rsidR="00A57CCA">
        <w:rPr>
          <w:sz w:val="20"/>
          <w:szCs w:val="20"/>
        </w:rPr>
        <w:t>e</w:t>
      </w:r>
      <w:r>
        <w:rPr>
          <w:sz w:val="20"/>
          <w:szCs w:val="20"/>
        </w:rPr>
        <w:t>stopped, sufficient to make it unjust or unconscionable for the latter to assert the true legal (or factual) position.”</w:t>
      </w:r>
    </w:p>
    <w:p w:rsidR="00BC0CEF" w:rsidRDefault="00BC0CEF" w:rsidP="00BC0CEF">
      <w:pPr>
        <w:pStyle w:val="TGLevel1"/>
      </w:pPr>
      <w:r>
        <w:t xml:space="preserve">This formulation was approved in, among other cases, the Court of Appeal decision of </w:t>
      </w:r>
      <w:r>
        <w:rPr>
          <w:i/>
        </w:rPr>
        <w:t xml:space="preserve">Preedy v Dunne </w:t>
      </w:r>
      <w:r>
        <w:t>[2016] EWCA Civ. 805 – see the judgment of Vos LJ at paragraph 47.</w:t>
      </w:r>
    </w:p>
    <w:p w:rsidR="00BC0CEF" w:rsidRDefault="00BC0CEF" w:rsidP="00BC0CEF">
      <w:pPr>
        <w:pStyle w:val="TGLevel1"/>
      </w:pPr>
      <w:r>
        <w:t xml:space="preserve">In </w:t>
      </w:r>
      <w:r>
        <w:rPr>
          <w:i/>
        </w:rPr>
        <w:t xml:space="preserve">Stena Line v Merchant Navy </w:t>
      </w:r>
      <w:r>
        <w:t>[2010] EWHC 1805, Briggs J</w:t>
      </w:r>
      <w:r w:rsidR="00AC1609">
        <w:t xml:space="preserve"> amended his formulation of the principles in </w:t>
      </w:r>
      <w:r w:rsidR="00AC1609">
        <w:rPr>
          <w:i/>
        </w:rPr>
        <w:t>Benchdollar</w:t>
      </w:r>
      <w:r w:rsidR="00AC1609">
        <w:t xml:space="preserve"> to include the words in square brackets set out in principle i). </w:t>
      </w:r>
    </w:p>
    <w:p w:rsidR="00AC1609" w:rsidRDefault="00AC1609" w:rsidP="00BC0CEF">
      <w:pPr>
        <w:pStyle w:val="TGLevel1"/>
      </w:pPr>
      <w:r>
        <w:t>Of course, the AFL is a tripartite document and the parties who owe obligations to Mears thereunder are both Pickstock and PNS. Conversely, the obligation at stake so far as Mears is concerned</w:t>
      </w:r>
      <w:r w:rsidR="00EB0297">
        <w:t>,</w:t>
      </w:r>
      <w:r>
        <w:t xml:space="preserve"> that is to</w:t>
      </w:r>
      <w:r w:rsidR="00EB0297">
        <w:t xml:space="preserve"> enter into the Lease as tenant</w:t>
      </w:r>
      <w:r>
        <w:t xml:space="preserve"> within 5 worki</w:t>
      </w:r>
      <w:r w:rsidR="00EB0297">
        <w:t>ng days of practical completion, is for the benefit of PNS.</w:t>
      </w:r>
    </w:p>
    <w:p w:rsidR="00AC1609" w:rsidRDefault="00AC1609" w:rsidP="00BC0CEF">
      <w:pPr>
        <w:pStyle w:val="TGLevel1"/>
      </w:pPr>
      <w:r>
        <w:t xml:space="preserve">Having regard to the requirements of estoppel by convention therefore, it seems to me that what needs to be shown is that all </w:t>
      </w:r>
      <w:r w:rsidR="00EB0297">
        <w:t>three</w:t>
      </w:r>
      <w:r>
        <w:t xml:space="preserve"> parties operated under the relevant common assumption and share</w:t>
      </w:r>
      <w:r w:rsidR="00EB0297">
        <w:t>d</w:t>
      </w:r>
      <w:r>
        <w:t xml:space="preserve">  it with each other. Equally, it should be shown that both Pickstock and PNS relied upon the shared assumption in the required sense.</w:t>
      </w:r>
      <w:r w:rsidR="00EB0297">
        <w:t xml:space="preserve"> After all, PNS has argued that Mears is estopped in relation to the claims made (</w:t>
      </w:r>
      <w:r w:rsidR="00EB0297">
        <w:rPr>
          <w:i/>
        </w:rPr>
        <w:t xml:space="preserve">inter </w:t>
      </w:r>
      <w:r w:rsidR="00EB0297" w:rsidRPr="00EB0297">
        <w:rPr>
          <w:i/>
        </w:rPr>
        <w:t>alia</w:t>
      </w:r>
      <w:r w:rsidR="00EB0297">
        <w:t xml:space="preserve"> against it) </w:t>
      </w:r>
      <w:r w:rsidR="00EB0297" w:rsidRPr="00EB0297">
        <w:t>under</w:t>
      </w:r>
      <w:r w:rsidR="00EB0297">
        <w:t xml:space="preserve"> the AFL and so it is hard to see how PNS can avoid satisfying the requirements of the estoppel for its part.</w:t>
      </w:r>
    </w:p>
    <w:p w:rsidR="00AC1609" w:rsidRDefault="00AC1609" w:rsidP="00BC0CEF">
      <w:pPr>
        <w:pStyle w:val="TGLevel1"/>
      </w:pPr>
      <w:r>
        <w:t xml:space="preserve">However, even if </w:t>
      </w:r>
      <w:r w:rsidR="009E72A0">
        <w:t>I am</w:t>
      </w:r>
      <w:r>
        <w:t xml:space="preserve"> wrong about that and one is entitled to focus upon the position only of Pickstock as against Mears, it would make no mater</w:t>
      </w:r>
      <w:r w:rsidR="00EB0297">
        <w:t>ial difference to my conclusion</w:t>
      </w:r>
      <w:r>
        <w:t xml:space="preserve"> for the reasons set out below.</w:t>
      </w:r>
    </w:p>
    <w:p w:rsidR="009C2BEB" w:rsidRDefault="009C2BEB" w:rsidP="009C2BEB">
      <w:pPr>
        <w:pStyle w:val="Heading2"/>
      </w:pPr>
      <w:r>
        <w:t xml:space="preserve">The Facts </w:t>
      </w:r>
    </w:p>
    <w:p w:rsidR="00387164" w:rsidRDefault="00EB0297" w:rsidP="00BC0CEF">
      <w:pPr>
        <w:pStyle w:val="TGLevel1"/>
      </w:pPr>
      <w:r>
        <w:t>A</w:t>
      </w:r>
      <w:r w:rsidR="00387164">
        <w:t>n important witness here was Mr O’Connor of JRP. The latter were appointed as Mears’ monitoring surveyors in September 2016. Mr O’Connor said that he had access to the OpCenter from about February 2017 although JRP had no brief to check the dimensions of the room</w:t>
      </w:r>
      <w:r w:rsidR="00A57CCA">
        <w:t>s</w:t>
      </w:r>
      <w:r w:rsidR="00387164">
        <w:t xml:space="preserve"> built as against the Planning Drawings. Nor were they required to undertake measurements. He also said that </w:t>
      </w:r>
      <w:r w:rsidR="00AB3B3F">
        <w:t xml:space="preserve">since </w:t>
      </w:r>
      <w:r w:rsidR="00387164">
        <w:t>Pickstock had not suggested that the sizes had changed</w:t>
      </w:r>
      <w:r w:rsidR="00AB3B3F">
        <w:t>,</w:t>
      </w:r>
      <w:r w:rsidR="00387164">
        <w:t xml:space="preserve"> there was no reason to check the current drawings.</w:t>
      </w:r>
    </w:p>
    <w:p w:rsidR="00387164" w:rsidRDefault="00387164" w:rsidP="00BC0CEF">
      <w:pPr>
        <w:pStyle w:val="TGLevel1"/>
      </w:pPr>
      <w:r>
        <w:t xml:space="preserve">Mr </w:t>
      </w:r>
      <w:r w:rsidR="00EB0297">
        <w:t xml:space="preserve">O’Connor </w:t>
      </w:r>
      <w:r>
        <w:t xml:space="preserve">also said that he was not surprised that the Planning Drawings had been used for the contract. In her closing submissions, Ms Packman for Pickstock placed particular emphasis on what he had said in cross-examination. </w:t>
      </w:r>
      <w:r w:rsidR="00EB0297">
        <w:t>This was that h</w:t>
      </w:r>
      <w:r>
        <w:t>e had appreciated</w:t>
      </w:r>
      <w:r w:rsidR="00EB0297">
        <w:t xml:space="preserve"> when he came to site that the P</w:t>
      </w:r>
      <w:r>
        <w:t xml:space="preserve">lanning </w:t>
      </w:r>
      <w:r w:rsidR="00EB0297">
        <w:t>D</w:t>
      </w:r>
      <w:r>
        <w:t xml:space="preserve">rawings were not the latest drawings.  He agreed that he would not have been surprised about that because he would have expected that given that construction was about to start there would have been significant design development from the </w:t>
      </w:r>
      <w:r w:rsidR="00EB0297">
        <w:t>Planning Drawings</w:t>
      </w:r>
      <w:r>
        <w:t xml:space="preserve">. However, that evidence does not go very far in my view, if the suggestion is that he accepted that the actual </w:t>
      </w:r>
      <w:r w:rsidR="008858D5">
        <w:t xml:space="preserve">sizes </w:t>
      </w:r>
      <w:r>
        <w:t>of the rooms would materially change from the Planning Drawings</w:t>
      </w:r>
      <w:r w:rsidR="008858D5">
        <w:t xml:space="preserve">, </w:t>
      </w:r>
      <w:r>
        <w:t>a point not expressly put to him</w:t>
      </w:r>
      <w:r w:rsidR="008858D5">
        <w:t xml:space="preserve"> in cross-examination</w:t>
      </w:r>
      <w:r>
        <w:t>. Indeed, later on, he said that at no point had they been advised that there were changes from the Planning Drawings on the question of size and that JRP would have expected to be advised about such a change by Pickstock if it were the case.</w:t>
      </w:r>
    </w:p>
    <w:p w:rsidR="00387164" w:rsidRDefault="00387164" w:rsidP="00BC0CEF">
      <w:pPr>
        <w:pStyle w:val="TGLevel1"/>
      </w:pPr>
      <w:r>
        <w:t>Of course, one of the reasons why Pickstock did not alert Mears to a deviation from the Planning Drawings in terms of size, is because, as it now appears, it was of the view that the Planning Drawings did not govern</w:t>
      </w:r>
      <w:r w:rsidR="008858D5">
        <w:t xml:space="preserve"> for the purpose of the AFL and that it was contractually entitled in some way to build according to the sizes in the Current Drawings.</w:t>
      </w:r>
      <w:r>
        <w:t xml:space="preserve"> And that was supported by the evidence of Ms Pickstock. Given that it was Pickstock which was building the Property and in circumstances where it is being alleged by Pickstock that there was a duty to speak as it were</w:t>
      </w:r>
      <w:r w:rsidR="0000457A">
        <w:t>,</w:t>
      </w:r>
      <w:r>
        <w:t xml:space="preserve"> on the part of Mears, it seems to me that the party who should have been raising the question of the discrepancy was Pickstock. The fact that Pickstock did not appreciate it was acting in breach of contract is irrelevant.</w:t>
      </w:r>
    </w:p>
    <w:p w:rsidR="0000457A" w:rsidRDefault="00387164" w:rsidP="00BC0CEF">
      <w:pPr>
        <w:pStyle w:val="TGLevel1"/>
      </w:pPr>
      <w:r>
        <w:t>The next point relied upon by Pickstock was the fact that at various times from September 2016 onwards, representatives of JRP and Mears had access to the OpCenter. But it is not enough in my judgment to say that had they examined those drawings against the Planning Drawings, they would have appreciated that there were material deviations</w:t>
      </w:r>
      <w:r w:rsidR="00D30106">
        <w:t xml:space="preserve"> as to size</w:t>
      </w:r>
      <w:r>
        <w:t>. I cannot see how the</w:t>
      </w:r>
      <w:r w:rsidR="00D30106">
        <w:t>re</w:t>
      </w:r>
      <w:r>
        <w:t xml:space="preserve"> can be a meaningful shared common assumption if Mears did not appreciate that there was such a deviation. </w:t>
      </w:r>
    </w:p>
    <w:p w:rsidR="009C2BEB" w:rsidRDefault="00387164" w:rsidP="00BC0CEF">
      <w:pPr>
        <w:pStyle w:val="TGLevel1"/>
      </w:pPr>
      <w:r>
        <w:t>Equally, the fact that when Mears wanted to change anything for example on the question of the layout of the lower ground floor, it raised the point with Pickstock and then resolve</w:t>
      </w:r>
      <w:r w:rsidR="0000457A">
        <w:t>d</w:t>
      </w:r>
      <w:r>
        <w:t xml:space="preserve"> the matter, does not assist. That is because, according to its evidence </w:t>
      </w:r>
      <w:r w:rsidR="00D30106">
        <w:t>(</w:t>
      </w:r>
      <w:r>
        <w:t>which I accept</w:t>
      </w:r>
      <w:r w:rsidR="00D30106">
        <w:t>)</w:t>
      </w:r>
      <w:r>
        <w:t>, M</w:t>
      </w:r>
      <w:r w:rsidR="00D30106">
        <w:t>ear</w:t>
      </w:r>
      <w:r>
        <w:t>s did not appreciate that there were deviations from the Planning Drawings until it actually took measurements much later. There is no evidence for example that Mears knew of these deviations much earlier but then operated on a common assumption with Pickstock that those deviations were nonetheless contractually conforming.</w:t>
      </w:r>
    </w:p>
    <w:p w:rsidR="00387164" w:rsidRDefault="00387164" w:rsidP="00D30106">
      <w:pPr>
        <w:pStyle w:val="TGLevel1"/>
        <w:spacing w:after="0"/>
      </w:pPr>
      <w:r>
        <w:t>There is then a reference in Pickstock’s closing submissions</w:t>
      </w:r>
      <w:r w:rsidR="0000457A">
        <w:t>,</w:t>
      </w:r>
      <w:r>
        <w:t xml:space="preserve"> which is also referred to in the Amended Defence and Counterclaim</w:t>
      </w:r>
      <w:r w:rsidR="0000457A">
        <w:t>,</w:t>
      </w:r>
      <w:r>
        <w:t xml:space="preserve"> to an email </w:t>
      </w:r>
      <w:r w:rsidR="00365E93">
        <w:t xml:space="preserve">dated 5 December 2016 </w:t>
      </w:r>
      <w:r>
        <w:t>from Mr Zamiska</w:t>
      </w:r>
      <w:r w:rsidR="00365E93">
        <w:t>, who worked in Mears’ Sales and Marketing department and worked on the marketing of the Property. In it he said that:</w:t>
      </w:r>
    </w:p>
    <w:p w:rsidR="00365E93" w:rsidRDefault="00365E93" w:rsidP="00D30106">
      <w:pPr>
        <w:pStyle w:val="TGLevel1"/>
        <w:numPr>
          <w:ilvl w:val="0"/>
          <w:numId w:val="0"/>
        </w:numPr>
        <w:spacing w:after="0"/>
        <w:ind w:left="1440"/>
        <w:rPr>
          <w:sz w:val="20"/>
          <w:szCs w:val="20"/>
        </w:rPr>
      </w:pPr>
      <w:r>
        <w:rPr>
          <w:sz w:val="20"/>
          <w:szCs w:val="20"/>
        </w:rPr>
        <w:t xml:space="preserve">“Upon reviewing pricing details for each room type we have found that room sizes of cluster </w:t>
      </w:r>
      <w:r w:rsidR="00D744BD">
        <w:rPr>
          <w:sz w:val="20"/>
          <w:szCs w:val="20"/>
        </w:rPr>
        <w:t>flats</w:t>
      </w:r>
      <w:r>
        <w:rPr>
          <w:sz w:val="20"/>
          <w:szCs w:val="20"/>
        </w:rPr>
        <w:t xml:space="preserve"> can vary significantly in size and shape”</w:t>
      </w:r>
    </w:p>
    <w:p w:rsidR="00365E93" w:rsidRDefault="00365E93" w:rsidP="00D30106">
      <w:pPr>
        <w:pStyle w:val="TGLevel1"/>
        <w:spacing w:after="120"/>
      </w:pPr>
      <w:r>
        <w:t>In a later email of 13 December 2016</w:t>
      </w:r>
      <w:r w:rsidR="00D30106">
        <w:t>,</w:t>
      </w:r>
      <w:r>
        <w:t xml:space="preserve"> he said that:</w:t>
      </w:r>
    </w:p>
    <w:p w:rsidR="00365E93" w:rsidRPr="00365E93" w:rsidRDefault="00365E93" w:rsidP="00D30106">
      <w:pPr>
        <w:pStyle w:val="TGLevel1"/>
        <w:numPr>
          <w:ilvl w:val="0"/>
          <w:numId w:val="0"/>
        </w:numPr>
        <w:spacing w:before="0"/>
        <w:ind w:left="709"/>
        <w:rPr>
          <w:sz w:val="20"/>
          <w:szCs w:val="20"/>
        </w:rPr>
      </w:pPr>
      <w:r>
        <w:tab/>
      </w:r>
      <w:r>
        <w:tab/>
      </w:r>
      <w:r>
        <w:rPr>
          <w:sz w:val="20"/>
          <w:szCs w:val="20"/>
        </w:rPr>
        <w:t>“we are reviewing room types/structure in order to confirm correct pricing strategy.”</w:t>
      </w:r>
    </w:p>
    <w:p w:rsidR="00365E93" w:rsidRDefault="00365E93" w:rsidP="0000457A">
      <w:pPr>
        <w:pStyle w:val="TGLevel1"/>
        <w:spacing w:before="0"/>
      </w:pPr>
      <w:r>
        <w:t>However I do not think these emails take Pickstock’s case very far. There were differences in size and shape in the rooms in the Planning Drawings and there is nothing in these emails to suggest either that Mears was aware at that time of the size reductions from what had been provided for</w:t>
      </w:r>
      <w:r w:rsidR="00A57CCA">
        <w:t xml:space="preserve"> in</w:t>
      </w:r>
      <w:r>
        <w:t xml:space="preserve"> the contract or that the rooms were actually being measured.</w:t>
      </w:r>
    </w:p>
    <w:p w:rsidR="00365E93" w:rsidRDefault="00365E93" w:rsidP="00365E93">
      <w:pPr>
        <w:pStyle w:val="TGLevel1"/>
      </w:pPr>
      <w:r>
        <w:t>Reliance is also placed on a visit to the Elements factory in January 2017 to view the construction of the modular bedrooms. Mr O’Connor’s colleague Mr Noble went on that visit. Mr O’Connor accepted that a size issue was not flagged then to Elements but said that that was not the purpose of the visit.</w:t>
      </w:r>
    </w:p>
    <w:p w:rsidR="00BC0CEF" w:rsidRDefault="00365E93" w:rsidP="00365E93">
      <w:pPr>
        <w:pStyle w:val="TGLevel1"/>
      </w:pPr>
      <w:r>
        <w:t>There was then a meeting on 2 February 2017 when various layout and design matters were being discussed. Mr O’Connor in evidence said that it was mainly about the proposed office/student room in the lower ground floor not about room sizes, in respect of which Mears had not been advised of any changes. In the end he said that “</w:t>
      </w:r>
      <w:r w:rsidR="0008488C">
        <w:t>we believed that we were proceeding with the design that everyone thought we were getting.” That hardly helps Pickstock’s case</w:t>
      </w:r>
      <w:r w:rsidR="00D30106">
        <w:t xml:space="preserve">; </w:t>
      </w:r>
      <w:r w:rsidR="0008488C">
        <w:t>to my mind</w:t>
      </w:r>
      <w:r w:rsidR="00D30106">
        <w:t>, it</w:t>
      </w:r>
      <w:r w:rsidR="0008488C">
        <w:t xml:space="preserve"> means no more than that Mears at that point understood that they were getting what they were </w:t>
      </w:r>
      <w:r w:rsidR="00D30106">
        <w:t>supposed to get. Again, and to l</w:t>
      </w:r>
      <w:r w:rsidR="0008488C">
        <w:t xml:space="preserve">abour the obvious, at that stage, they did not know that they were not. </w:t>
      </w:r>
    </w:p>
    <w:p w:rsidR="0008488C" w:rsidRDefault="0008488C" w:rsidP="00D30106">
      <w:pPr>
        <w:pStyle w:val="TGLevel1"/>
        <w:spacing w:after="0"/>
      </w:pPr>
      <w:r>
        <w:t>Pickstock’s Closing Submissions also refer to an email from Sarah Parsley, and Accommodation Manager with Mears at the time, dated 29 June 2017. She asked:</w:t>
      </w:r>
    </w:p>
    <w:p w:rsidR="0008488C" w:rsidRDefault="0008488C" w:rsidP="00D30106">
      <w:pPr>
        <w:pStyle w:val="TGLevel1"/>
        <w:numPr>
          <w:ilvl w:val="0"/>
          <w:numId w:val="0"/>
        </w:numPr>
        <w:spacing w:after="0"/>
        <w:ind w:left="709"/>
        <w:rPr>
          <w:sz w:val="20"/>
          <w:szCs w:val="20"/>
        </w:rPr>
      </w:pPr>
      <w:r>
        <w:tab/>
      </w:r>
      <w:r>
        <w:tab/>
      </w:r>
      <w:r>
        <w:rPr>
          <w:sz w:val="20"/>
          <w:szCs w:val="20"/>
        </w:rPr>
        <w:t>“just wondering if you have any more accurate rooms sizes as the ranges I have quite considerably”.</w:t>
      </w:r>
    </w:p>
    <w:p w:rsidR="0008488C" w:rsidRDefault="0008488C" w:rsidP="0008488C">
      <w:pPr>
        <w:pStyle w:val="TGLevel1"/>
        <w:numPr>
          <w:ilvl w:val="0"/>
          <w:numId w:val="0"/>
        </w:numPr>
        <w:ind w:left="709"/>
      </w:pPr>
      <w:r w:rsidRPr="0008488C">
        <w:t>She was then sent the latest drawings showing all room sizes.</w:t>
      </w:r>
    </w:p>
    <w:p w:rsidR="0008488C" w:rsidRDefault="00D30106" w:rsidP="0008488C">
      <w:pPr>
        <w:pStyle w:val="TGLevel1"/>
      </w:pPr>
      <w:r>
        <w:t>I</w:t>
      </w:r>
      <w:r w:rsidR="0008488C">
        <w:t xml:space="preserve">t is not in dispute that a number of those working for Mears had received </w:t>
      </w:r>
      <w:r>
        <w:t xml:space="preserve">various </w:t>
      </w:r>
      <w:r w:rsidR="0008488C">
        <w:t>current drawings or had access to them through OpCenter. But the point is, again, that they had not appreciated</w:t>
      </w:r>
      <w:r>
        <w:t xml:space="preserve"> </w:t>
      </w:r>
      <w:r w:rsidR="0008488C">
        <w:t>-</w:t>
      </w:r>
      <w:r>
        <w:t xml:space="preserve"> </w:t>
      </w:r>
      <w:r w:rsidR="0008488C">
        <w:t>because they had not been told</w:t>
      </w:r>
      <w:r>
        <w:t xml:space="preserve"> </w:t>
      </w:r>
      <w:r w:rsidR="0008488C">
        <w:t>-</w:t>
      </w:r>
      <w:r>
        <w:t xml:space="preserve"> </w:t>
      </w:r>
      <w:r w:rsidR="0008488C">
        <w:t>that these were deviations from the contractual sizes.</w:t>
      </w:r>
    </w:p>
    <w:p w:rsidR="000D5A04" w:rsidRDefault="0008488C" w:rsidP="0008488C">
      <w:pPr>
        <w:pStyle w:val="TGLevel1"/>
      </w:pPr>
      <w:r>
        <w:t xml:space="preserve">I should add that Pickstock’s case as to why there were deviations from the Planning Drawings is that they were necessary in order to build the Property and/or to satisfy certain other requirements. As Ms Pickstock </w:t>
      </w:r>
      <w:r w:rsidR="00A51DC3">
        <w:t>h</w:t>
      </w:r>
      <w:r>
        <w:t>a</w:t>
      </w:r>
      <w:r w:rsidR="00A51DC3">
        <w:t>d</w:t>
      </w:r>
      <w:r>
        <w:t xml:space="preserve"> put it in her evidence, there was no way that they could in fact have built according to the Planning Drawings entirely. The relevance of this is that had Mears raised the issue of room size discrepancy prior to 2018</w:t>
      </w:r>
      <w:r w:rsidR="000D5A04">
        <w:t xml:space="preserve"> it is unclear what, in reality, </w:t>
      </w:r>
      <w:r>
        <w:t>Pickstock could or would have done about it.</w:t>
      </w:r>
      <w:r w:rsidR="000D5A04">
        <w:t xml:space="preserve"> Indeed none of Pickstock’s evidence descends into detail about what would have happened.</w:t>
      </w:r>
    </w:p>
    <w:p w:rsidR="0000457A" w:rsidRDefault="009D5C54" w:rsidP="0008488C">
      <w:pPr>
        <w:pStyle w:val="TGLevel1"/>
      </w:pPr>
      <w:r>
        <w:t>Finally, the fact that some of Mears’ other defects notices made reference to the Current Drawings is neither here nor there. This point was not elaborated upon or explored at trial and it might well be that it would not in fact have mattered which drawings were referred to.</w:t>
      </w:r>
    </w:p>
    <w:p w:rsidR="0008488C" w:rsidRDefault="000D5A04" w:rsidP="009B5217">
      <w:pPr>
        <w:pStyle w:val="Heading2"/>
      </w:pPr>
      <w:r>
        <w:t xml:space="preserve">Analysis </w:t>
      </w:r>
    </w:p>
    <w:p w:rsidR="00D30106" w:rsidRDefault="00D30106" w:rsidP="009B5217">
      <w:pPr>
        <w:pStyle w:val="Heading3"/>
      </w:pPr>
      <w:r>
        <w:t>Generally</w:t>
      </w:r>
    </w:p>
    <w:p w:rsidR="000D5A04" w:rsidRDefault="000D5A04" w:rsidP="0008488C">
      <w:pPr>
        <w:pStyle w:val="TGLevel1"/>
      </w:pPr>
      <w:r>
        <w:t xml:space="preserve">I deal with the estoppel by convention argument by reference to the principles set out by Briggs J in </w:t>
      </w:r>
      <w:r w:rsidRPr="000D5A04">
        <w:rPr>
          <w:i/>
        </w:rPr>
        <w:t>B</w:t>
      </w:r>
      <w:r>
        <w:rPr>
          <w:i/>
        </w:rPr>
        <w:t>enchdollar</w:t>
      </w:r>
      <w:r>
        <w:t>, as restated by him.</w:t>
      </w:r>
      <w:r w:rsidR="00D30106">
        <w:t xml:space="preserve"> For this purpose I do so without reference to the position of PNS, which I deal with afterwards.</w:t>
      </w:r>
    </w:p>
    <w:p w:rsidR="00DE6550" w:rsidRDefault="000D5A04" w:rsidP="0008488C">
      <w:pPr>
        <w:pStyle w:val="TGLevel1"/>
      </w:pPr>
      <w:r>
        <w:t>So far as requirement (i) is concerned</w:t>
      </w:r>
      <w:r w:rsidR="00D30106">
        <w:t xml:space="preserve">, first, </w:t>
      </w:r>
      <w:r>
        <w:t xml:space="preserve">I </w:t>
      </w:r>
      <w:r w:rsidR="00D30106">
        <w:t>cannot see how there was a common assumption, even just between</w:t>
      </w:r>
      <w:r>
        <w:t xml:space="preserve"> Pickstock and Mears</w:t>
      </w:r>
      <w:r w:rsidR="00DE6550">
        <w:t>,</w:t>
      </w:r>
      <w:r>
        <w:t xml:space="preserve"> that the relevant rooms could be built in a contractually conf</w:t>
      </w:r>
      <w:r w:rsidR="00D30106">
        <w:t>orming way by reference to the sizes shown in C</w:t>
      </w:r>
      <w:r>
        <w:t xml:space="preserve">urrent </w:t>
      </w:r>
      <w:r w:rsidR="00D30106">
        <w:t>D</w:t>
      </w:r>
      <w:r>
        <w:t xml:space="preserve">rawings in circumstances where (a) Mears was simply not focusing on </w:t>
      </w:r>
      <w:r w:rsidR="00D30106">
        <w:t xml:space="preserve">particular room </w:t>
      </w:r>
      <w:r>
        <w:t>size</w:t>
      </w:r>
      <w:r w:rsidR="00D30106">
        <w:t>s</w:t>
      </w:r>
      <w:r>
        <w:t xml:space="preserve"> </w:t>
      </w:r>
      <w:r w:rsidR="00D30106">
        <w:t xml:space="preserve">at </w:t>
      </w:r>
      <w:r>
        <w:t xml:space="preserve">the relevant times and (b) it was not aware of the deviation from the Planning Drawings. </w:t>
      </w:r>
      <w:r w:rsidR="00DE6550">
        <w:t xml:space="preserve">But even if somehow there was, on the part of Mears, I do not consider that the evidence relied upon by Pickstock shows that Mears shared this assumption with Pickstock in any real way. There was certainly no express sharing because it never said in terms that it was proceeding on the basis that Pickstock was entitled to build according to the area sizes in the Current Drawings. Nor does the evidence establish that by Mears’ words and conduct, it is to be inferred that it shared this assumption with Pickstock. </w:t>
      </w:r>
    </w:p>
    <w:p w:rsidR="00D30106" w:rsidRDefault="00DE6550" w:rsidP="0008488C">
      <w:pPr>
        <w:pStyle w:val="TGLevel1"/>
      </w:pPr>
      <w:r>
        <w:t>In this context, to the extent it is still being suggested, I do not accept that the size deviations were so obvious that Mears must have appreciated the departure from the Planning Drawings. Indeed, that point was not put in terms to any of Mears’ witnesses. I accept that the first time that Mears became aware of the size reductions was upon the measurement carried out for Mr Collins shortly before the May Notice.</w:t>
      </w:r>
    </w:p>
    <w:p w:rsidR="00DE6550" w:rsidRDefault="00DE6550" w:rsidP="0008488C">
      <w:pPr>
        <w:pStyle w:val="TGLevel1"/>
      </w:pPr>
      <w:r>
        <w:t>Nor, on the facts of this case, can mere silence on the part of Mears be sufficient. I cannot see how there was any duty upon it to speak. The relevant duty was surely upon Pickstock to make it clear that it was building according to sizes which were smaller than those set out in the Planning Drawings</w:t>
      </w:r>
      <w:r w:rsidR="00A57CCA">
        <w:t xml:space="preserve"> </w:t>
      </w:r>
      <w:r>
        <w:t>-</w:t>
      </w:r>
      <w:r w:rsidR="00A57CCA">
        <w:t xml:space="preserve"> </w:t>
      </w:r>
      <w:r>
        <w:t>and it did not do so.</w:t>
      </w:r>
    </w:p>
    <w:p w:rsidR="000D5A04" w:rsidRDefault="000D5A04" w:rsidP="0008488C">
      <w:pPr>
        <w:pStyle w:val="TGLevel1"/>
      </w:pPr>
      <w:r>
        <w:t>As to (ii), even if there was such a shared assumption, I cannot see how Mears is said to have assumed an element of responsibility in the sense of conveying to Pickstock an understanding that it expected Pickstock to rely upon the common assumption. The fact that it had</w:t>
      </w:r>
      <w:r w:rsidR="00DE6550">
        <w:t>,</w:t>
      </w:r>
      <w:r>
        <w:t xml:space="preserve"> and had </w:t>
      </w:r>
      <w:r w:rsidR="00A57CCA">
        <w:t xml:space="preserve">had </w:t>
      </w:r>
      <w:r w:rsidR="00DE6550">
        <w:t xml:space="preserve">electronic </w:t>
      </w:r>
      <w:r>
        <w:t xml:space="preserve">access to </w:t>
      </w:r>
      <w:r w:rsidR="00DE6550">
        <w:t>the C</w:t>
      </w:r>
      <w:r>
        <w:t xml:space="preserve">urrent </w:t>
      </w:r>
      <w:r w:rsidR="00DE6550">
        <w:t>Drawings c</w:t>
      </w:r>
      <w:r>
        <w:t>annot be enough to give it the requisite responsibility absent clear joint discussions about particular room sizes and that they would be contractually acceptable.</w:t>
      </w:r>
    </w:p>
    <w:p w:rsidR="000D5A04" w:rsidRDefault="000D5A04" w:rsidP="0008488C">
      <w:pPr>
        <w:pStyle w:val="TGLevel1"/>
      </w:pPr>
      <w:r>
        <w:t>That last point is connected to the next one, under (iii) which is that of reliance. As for Pickstock, in reality it proceeded with building the Property in the way that it did because for its part,</w:t>
      </w:r>
      <w:r w:rsidR="00DE6550">
        <w:t xml:space="preserve"> it</w:t>
      </w:r>
      <w:r>
        <w:t xml:space="preserve"> thought that it was entitled to use for contractual purposes all of the </w:t>
      </w:r>
      <w:r w:rsidR="00DE6550">
        <w:t>C</w:t>
      </w:r>
      <w:r>
        <w:t xml:space="preserve">urrent </w:t>
      </w:r>
      <w:r w:rsidR="00DE6550">
        <w:t>D</w:t>
      </w:r>
      <w:r>
        <w:t xml:space="preserve">rawings. In other words it had its own independent view of the matter. It was not looking for reassurance from Mears on that point and there is no document to suggest that it did. </w:t>
      </w:r>
      <w:r w:rsidR="00DE6550">
        <w:t xml:space="preserve">Indeed Pickstock’s own case is that it never had any choice but to build according to the current sizes, among other things. </w:t>
      </w:r>
      <w:r>
        <w:t>True it is that Pickstock asserts that had Mears objected about size earlier on something could be done about it but that is not sufficient reliance in my view. And in any event as already stated, it is not c</w:t>
      </w:r>
      <w:r w:rsidR="00DE6550">
        <w:t xml:space="preserve">lear what could have been done and what Pickstock would have been prepared to do. In particular, the Elements room modules for Block A had actually been completed in around February 2017 and the changed construction for Block B on the basis that modular rooms would not work was equally set in motion at a relatively early stage. </w:t>
      </w:r>
    </w:p>
    <w:p w:rsidR="000D5A04" w:rsidRDefault="00A36FFA" w:rsidP="0008488C">
      <w:pPr>
        <w:pStyle w:val="TGLevel1"/>
      </w:pPr>
      <w:r>
        <w:t>In respect of requirement (iv) I have my doubts about whether any of the communications between Mears on the one hand and Pickstock on the other could really be called “mutual dealings” but for the purposes of this analysis, I assume it to be satisfied.</w:t>
      </w:r>
    </w:p>
    <w:p w:rsidR="000D5A04" w:rsidRDefault="000D5A04" w:rsidP="0008488C">
      <w:pPr>
        <w:pStyle w:val="TGLevel1"/>
      </w:pPr>
      <w:r>
        <w:t>Finally,</w:t>
      </w:r>
      <w:r w:rsidR="00A36FFA">
        <w:t xml:space="preserve"> as to (v) and detriment, it is quite impossible on the facts of this case to see how Pickstock suffered a detriment or </w:t>
      </w:r>
      <w:r w:rsidR="00A57CCA">
        <w:t xml:space="preserve">Mears </w:t>
      </w:r>
      <w:r w:rsidR="00A36FFA">
        <w:t>has obtained a benefit which is sufficient to make it unjust for Mears to assert its true legal rights. The current predicament of Pickstock and PNS was entirely of their own making by constructing the</w:t>
      </w:r>
      <w:r w:rsidR="00A51DC3">
        <w:t xml:space="preserve"> Property</w:t>
      </w:r>
      <w:r w:rsidR="00A36FFA">
        <w:t xml:space="preserve"> with some rooms which in fact had deviations in breach of Clause 6.2.1. The fact that this breach was not deliberate but rather because Pickstock was mistaken as to the term of the contract is neither here nor there. It was incumbent on Pickstock to check that what it was doing was contractually compliant because it was building the Property. Mears, after all, was not even the employer thereunder but rather a more remote party who was going to be taking on the </w:t>
      </w:r>
      <w:r w:rsidR="0004551B">
        <w:t>l</w:t>
      </w:r>
      <w:r w:rsidR="00A36FFA">
        <w:t>ease. In those circumstances, the notion that it would be unjust for Mears to rely on its contractual rights is hopeless in my view.</w:t>
      </w:r>
    </w:p>
    <w:p w:rsidR="00842834" w:rsidRDefault="00842834" w:rsidP="0008488C">
      <w:pPr>
        <w:pStyle w:val="TGLevel1"/>
      </w:pPr>
      <w:r>
        <w:t xml:space="preserve">In closing, Ms Packman for Pickstock reminded me of paragraph 8.18 of </w:t>
      </w:r>
      <w:r>
        <w:rPr>
          <w:i/>
        </w:rPr>
        <w:t>Spencer Bower: Reliance-Based Estoppel</w:t>
      </w:r>
      <w:r>
        <w:t xml:space="preserve"> which said that the estoppel can arise in favour of A where silence on part of B (the party sought to be estopped) amount to an endorsement of A</w:t>
      </w:r>
      <w:r w:rsidR="0004551B">
        <w:t xml:space="preserve">’s </w:t>
      </w:r>
      <w:r>
        <w:t xml:space="preserve">mistaken belief. She made this point in answer to Mears’ arguments to show that reliance under principle (iii) could not be made out here because Pickstock was acting on its own independent view not because of any deemed assurance given to it by Mears. However the passage she quoted was not dealing with that point. It was simply dealing with the type of conduct on the part of B which might be sufficient to generate the estoppel. Put another way, the fact that party A may have been mistaken as to its legal rights does not mean automatically that reliance upon the conduct of B is thereby made out. </w:t>
      </w:r>
    </w:p>
    <w:p w:rsidR="00A460FE" w:rsidRDefault="00A460FE" w:rsidP="0008488C">
      <w:pPr>
        <w:pStyle w:val="TGLevel1"/>
      </w:pPr>
      <w:r>
        <w:t>Accordingly, and even taking no account of the position of PNS, it is my clear view that on the facts of this case, an estoppel by convention as against Mears cannot possibly be established.</w:t>
      </w:r>
    </w:p>
    <w:p w:rsidR="00955F91" w:rsidRDefault="00955F91" w:rsidP="009B5217">
      <w:pPr>
        <w:pStyle w:val="Heading3"/>
      </w:pPr>
      <w:r>
        <w:t>PNS</w:t>
      </w:r>
    </w:p>
    <w:p w:rsidR="00955F91" w:rsidRDefault="00955F91" w:rsidP="00955F91">
      <w:pPr>
        <w:pStyle w:val="TGLevel1"/>
      </w:pPr>
      <w:r>
        <w:t xml:space="preserve">If the position of PNS is to be considered as well (though here it makes no difference if it is not) the failure of the estoppel by convention point is even more stark. First, there is no real evidence that for its part, PNS actually had the same common assumption. But even if it did it is hard to see the evidence that Mears either expressly or impliedly shared the common assumption with PNS. Indeed, that is not really alleged. The same goes for the requirement that Mears had assumed some element of responsibility for PNS acting on that assumption. Yet further, there is no real evidence of any reliance on the part of PNS so far as any shared common assumption is concerned. In fact it also appears to have been acting on the basis of its own independent view or at least the view of its agent, Costplan. Added to which is the fact that there is no clear evidence from PNS as to what </w:t>
      </w:r>
      <w:r w:rsidRPr="00955F91">
        <w:rPr>
          <w:u w:val="single"/>
        </w:rPr>
        <w:t>it</w:t>
      </w:r>
      <w:r>
        <w:t xml:space="preserve"> would have done had the point about room sizes been made explicitly to it at a much earlier stage. </w:t>
      </w:r>
      <w:r w:rsidRPr="00955F91">
        <w:t>And</w:t>
      </w:r>
      <w:r>
        <w:t xml:space="preserve"> finally, and as with Pickstock, it is very difficult to see </w:t>
      </w:r>
      <w:r w:rsidR="00A460FE">
        <w:t xml:space="preserve">how PNS suffered a detriment such that </w:t>
      </w:r>
      <w:r>
        <w:t xml:space="preserve">it would be unconscionable for Mears to rely on its strict contractual rights as against </w:t>
      </w:r>
      <w:r w:rsidR="00A460FE">
        <w:t xml:space="preserve">it. </w:t>
      </w:r>
      <w:r>
        <w:t>The latter was running the Building Contract as employer</w:t>
      </w:r>
      <w:r w:rsidR="00A460FE">
        <w:t xml:space="preserve"> and had its own agent, Costplan throughout. It surely had its own duty to ensure that the Property which it was to own and then let out was built in a </w:t>
      </w:r>
      <w:r w:rsidR="001B1DBE">
        <w:t>contractually-</w:t>
      </w:r>
      <w:r w:rsidR="00A460FE">
        <w:t xml:space="preserve">conforming way. And if it failed to check, that was at its own commercial risk. </w:t>
      </w:r>
    </w:p>
    <w:p w:rsidR="00955F91" w:rsidRDefault="00A460FE" w:rsidP="009B5217">
      <w:pPr>
        <w:pStyle w:val="Heading3"/>
      </w:pPr>
      <w:r>
        <w:t>Some other points</w:t>
      </w:r>
    </w:p>
    <w:p w:rsidR="00A460FE" w:rsidRDefault="00A460FE" w:rsidP="00A460FE">
      <w:pPr>
        <w:pStyle w:val="TGLevel1"/>
      </w:pPr>
      <w:r>
        <w:t>The following points would also support a finding that there was no estoppel by convention (but they are not necessary for my so finding):</w:t>
      </w:r>
    </w:p>
    <w:p w:rsidR="00F7553E" w:rsidRDefault="009B5217" w:rsidP="00A460FE">
      <w:pPr>
        <w:pStyle w:val="TGLevel2"/>
      </w:pPr>
      <w:r>
        <w:t>I</w:t>
      </w:r>
      <w:r w:rsidR="00F7553E">
        <w:t>n general terms (although not debated at trial) it is very difficult to see how persons such as Mr O’Connor, who worked for JRP, or M</w:t>
      </w:r>
      <w:r w:rsidR="003B40B3">
        <w:t>s</w:t>
      </w:r>
      <w:r w:rsidR="00F7553E">
        <w:t xml:space="preserve"> Parsley in marketing, would have had authority to sanction the building of rooms in breach of contract; indeed (and as positively pleaded in PNS’s Amended Defence and Counterclaim) in a letter dated 16 March 2017, Costplan reminded Pickstock that “no variations/amendments to the contract can be made between Pickstock and Mears without the approval of the client”, and it is not suggested that PNS ever gave such consent or was alerted to the possibility;</w:t>
      </w:r>
    </w:p>
    <w:p w:rsidR="00A460FE" w:rsidRDefault="009B5217" w:rsidP="00A460FE">
      <w:pPr>
        <w:pStyle w:val="TGLevel2"/>
      </w:pPr>
      <w:r>
        <w:t>I</w:t>
      </w:r>
      <w:r w:rsidR="00D31589">
        <w:t>n a similar vein, the issue here arises in the context of the Building Contract which is both formal and detailed and where any variation would have to be agreed in writing; equally, Clause 8.7 of the AFL provided that “no review or comment by the Tenant or the Surveyor in relation to the Landlords</w:t>
      </w:r>
      <w:r w:rsidR="00D744BD">
        <w:t>’</w:t>
      </w:r>
      <w:r w:rsidR="00D31589">
        <w:t xml:space="preserve"> Works shall in any way relieve the Landlord from its obligations under this agreement”. If no positive comment could relieve PNS of its obligations, it is very difficult to see how silence could do so;</w:t>
      </w:r>
    </w:p>
    <w:p w:rsidR="00D31589" w:rsidRDefault="009B5217" w:rsidP="00A460FE">
      <w:pPr>
        <w:pStyle w:val="TGLevel2"/>
      </w:pPr>
      <w:r>
        <w:t>P</w:t>
      </w:r>
      <w:r w:rsidR="00D31589">
        <w:t xml:space="preserve">art of the Employers Requirements annexed to the AFL state (paragraph 125 of the Preliminaries under section A 13) that any alterations were to be instructed via </w:t>
      </w:r>
      <w:r w:rsidR="00D744BD">
        <w:t>the E</w:t>
      </w:r>
      <w:r w:rsidR="00D31589">
        <w:t>mployer’s Agent. No changes were to be made without formal instruction.</w:t>
      </w:r>
    </w:p>
    <w:p w:rsidR="00D31589" w:rsidRDefault="00D31589" w:rsidP="00D31589">
      <w:pPr>
        <w:pStyle w:val="TGLevel1"/>
      </w:pPr>
      <w:r>
        <w:t>The above points even if they do not act to debar the running of the estoppel claim altogether, are highly material in my view to the fact that the duty to speak firmly rested upon Pickstock and PNS and support the notion that it would not be unconscionable for Mears to enforce its true contractual rights.</w:t>
      </w:r>
    </w:p>
    <w:p w:rsidR="00D31589" w:rsidRDefault="00D31589" w:rsidP="00D31589">
      <w:pPr>
        <w:pStyle w:val="Heading2"/>
      </w:pPr>
      <w:r>
        <w:t xml:space="preserve">Conclusion </w:t>
      </w:r>
    </w:p>
    <w:p w:rsidR="00D31589" w:rsidRDefault="00D31589" w:rsidP="00D31589">
      <w:pPr>
        <w:pStyle w:val="TGLevel1"/>
      </w:pPr>
      <w:r>
        <w:t>The plea of estoppel made by both Pickstock and PNS therefore fails.</w:t>
      </w:r>
    </w:p>
    <w:p w:rsidR="00D31589" w:rsidRDefault="00D31589" w:rsidP="00D31589">
      <w:pPr>
        <w:pStyle w:val="Heading1"/>
      </w:pPr>
      <w:r>
        <w:t xml:space="preserve">Further points </w:t>
      </w:r>
    </w:p>
    <w:p w:rsidR="00D31589" w:rsidRDefault="00D31589" w:rsidP="00D31589">
      <w:pPr>
        <w:pStyle w:val="TGLevel1"/>
      </w:pPr>
      <w:r>
        <w:t>Although I do not consider that the points dealt with below were in fact pursued at trial I make mention of them briefly.</w:t>
      </w:r>
    </w:p>
    <w:p w:rsidR="001F797B" w:rsidRDefault="001F797B" w:rsidP="00D31589">
      <w:pPr>
        <w:pStyle w:val="TGLevel1"/>
      </w:pPr>
      <w:r>
        <w:t xml:space="preserve">At one stage, Mears apprehended that it was being suggested on the part of Pickstock and/or PNS that its consent to a variation in the building works could have been or was being sought, which such consent could not be unreasonably withheld. Mears argued that even if that was a procedure open to the other parties </w:t>
      </w:r>
      <w:r w:rsidR="00B44433">
        <w:t xml:space="preserve">for the purpose of overriding Clause 6.2.1 </w:t>
      </w:r>
      <w:r>
        <w:t>(and it is not</w:t>
      </w:r>
      <w:r w:rsidR="00B44433">
        <w:t>,</w:t>
      </w:r>
      <w:r>
        <w:t xml:space="preserve"> under the AFL) the point goes nowhere because such consent was never sought at the time and in any event there is no material before me to suggest that any putative refusal would be unreasonable. I agree.</w:t>
      </w:r>
    </w:p>
    <w:p w:rsidR="00B44433" w:rsidRDefault="00B44433" w:rsidP="00D31589">
      <w:pPr>
        <w:pStyle w:val="TGLevel1"/>
      </w:pPr>
      <w:bookmarkStart w:id="4" w:name="_Ref531797506"/>
      <w:r>
        <w:t xml:space="preserve">Secondly, it is pleaded in paragraph 54.2.2 and 54.2.3 of Pickstock’s Defence and Counterclaim that under Clause 5.1 under the AFL, it was obliged to carry the works out in accordance with the Approvals (essentially the planning permission conditions) and, Pickstock Claims, in accordance with relevant Building Regulations as stated in the Employers Requirements in Annex A to the AFL. However I do not accept that on a proper construction of the AFL any such obligations take precedence over clause 6.2.1. If such obligations mean that Pickstock had to make changes to the design, then the fact that building in accordance with the changed design put it in breach of Clause 6.2.1 is irrelevant. That is a commercial risk which Pickstock would have taken if it had not ensured that the Property could be built both in accordance with the </w:t>
      </w:r>
      <w:r w:rsidR="001B1DBE">
        <w:t xml:space="preserve">contractual </w:t>
      </w:r>
      <w:r>
        <w:t>specifications</w:t>
      </w:r>
      <w:r w:rsidR="001B1DBE">
        <w:t xml:space="preserve"> on the one hand, and the </w:t>
      </w:r>
      <w:r>
        <w:t>relevant approvals or building regulations</w:t>
      </w:r>
      <w:r w:rsidR="001B1DBE">
        <w:t xml:space="preserve"> on the other</w:t>
      </w:r>
      <w:r>
        <w:t>. It would be absurd to suggest that, for example, Mears would be obliged to enter into a lease for a property which substantially deviated from the specified design simply because the original design could not have been built without serious breaches of the building regulations.</w:t>
      </w:r>
      <w:bookmarkEnd w:id="4"/>
      <w:r>
        <w:t xml:space="preserve"> </w:t>
      </w:r>
    </w:p>
    <w:p w:rsidR="0004551B" w:rsidRPr="00A460FE" w:rsidRDefault="0004551B" w:rsidP="00D31589">
      <w:pPr>
        <w:pStyle w:val="TGLevel1"/>
      </w:pPr>
      <w:r>
        <w:t>Finally, to the extent that it was still being suggested that by their conduct, Pickstock and Mears actually agreed a variation to the AFL, that contention is hopeless. If the facts as described above were clearly insufficient to establish an estoppel by convention, they cannot possibly establish an agreed variation to a detailed written contract.</w:t>
      </w:r>
    </w:p>
    <w:p w:rsidR="00A36FFA" w:rsidRDefault="00A36FFA" w:rsidP="00A36FFA">
      <w:pPr>
        <w:pStyle w:val="Heading1"/>
      </w:pPr>
      <w:r>
        <w:t xml:space="preserve">Breach of contract </w:t>
      </w:r>
    </w:p>
    <w:p w:rsidR="00D65933" w:rsidRDefault="00D65933" w:rsidP="00D65933">
      <w:pPr>
        <w:pStyle w:val="Heading2"/>
      </w:pPr>
      <w:r>
        <w:t>Introduction</w:t>
      </w:r>
    </w:p>
    <w:p w:rsidR="00A36FFA" w:rsidRPr="0008488C" w:rsidRDefault="00A36FFA" w:rsidP="0008488C">
      <w:pPr>
        <w:pStyle w:val="TGLevel1"/>
      </w:pPr>
      <w:r>
        <w:t>In the light of all the findings made above, the remaining question is whether there were rooms which were built more than 3% smaller than the areas for those rooms specified in the Planning Drawings. I can deal with this matter relatively briefly.</w:t>
      </w:r>
    </w:p>
    <w:p w:rsidR="0008488C" w:rsidRDefault="00A36FFA" w:rsidP="00A36FFA">
      <w:pPr>
        <w:pStyle w:val="TGLevel1"/>
      </w:pPr>
      <w:r>
        <w:t>The 56 rooms complained of are shown in diagrammatic form in a coloured plan which was produced by Pickstock</w:t>
      </w:r>
      <w:r w:rsidR="00D65933">
        <w:t xml:space="preserve"> for the purpose of its Closing Submissions. Not all 56 rooms are shown because what we have is a typical floor layout by reference to one floor in Block A and one floor in Block B. The room types marked in pink are the ones complained of. It is worth </w:t>
      </w:r>
      <w:r w:rsidR="00B70447">
        <w:t xml:space="preserve">emphasising </w:t>
      </w:r>
      <w:r w:rsidR="00D65933">
        <w:t>that Mears’ complaint is about size not layout.</w:t>
      </w:r>
    </w:p>
    <w:p w:rsidR="00D65933" w:rsidRDefault="00D65933" w:rsidP="00A36FFA">
      <w:pPr>
        <w:pStyle w:val="TGLevel1"/>
      </w:pPr>
      <w:r>
        <w:t>I would make the following general observations:</w:t>
      </w:r>
    </w:p>
    <w:p w:rsidR="00D65933" w:rsidRDefault="00D65933" w:rsidP="00D65933">
      <w:pPr>
        <w:pStyle w:val="TGLevel2"/>
      </w:pPr>
      <w:r>
        <w:t>since the relevant distinct area for the purposes of Clause 6.2.1 is each room, it is not to the point that there were some rooms which were built larger than as shown in the Planning Drawings;</w:t>
      </w:r>
    </w:p>
    <w:p w:rsidR="00D65933" w:rsidRDefault="00D65933" w:rsidP="0004551B">
      <w:pPr>
        <w:pStyle w:val="TGLevel2"/>
        <w:tabs>
          <w:tab w:val="clear" w:pos="1418"/>
          <w:tab w:val="num" w:pos="1429"/>
        </w:tabs>
        <w:ind w:left="1429"/>
      </w:pPr>
      <w:r>
        <w:t>nor, in the case of any individual room, is the reason why it was built too small, relevant. Although there was extensive evidence adduced by Pickstock on this point I did not understand it, in the end, to be suggest</w:t>
      </w:r>
      <w:r w:rsidR="00B70447">
        <w:t xml:space="preserve">ed </w:t>
      </w:r>
      <w:r>
        <w:t>that if and to the extent that the room had to be built this way it meant that there could be no breach in relation to that</w:t>
      </w:r>
      <w:r w:rsidR="00B70447">
        <w:t xml:space="preserve"> room. </w:t>
      </w:r>
      <w:r w:rsidR="0004551B">
        <w:t xml:space="preserve">(To the extent that this suggestion was being made, I have dealt with it in paragraph </w:t>
      </w:r>
      <w:r w:rsidR="0004551B">
        <w:fldChar w:fldCharType="begin"/>
      </w:r>
      <w:r w:rsidR="0004551B">
        <w:instrText xml:space="preserve"> REF _Ref531797506 \w \h </w:instrText>
      </w:r>
      <w:r w:rsidR="0004551B">
        <w:fldChar w:fldCharType="separate"/>
      </w:r>
      <w:r w:rsidR="007E35A7">
        <w:t>157</w:t>
      </w:r>
      <w:r w:rsidR="0004551B">
        <w:fldChar w:fldCharType="end"/>
      </w:r>
      <w:r w:rsidR="0004551B">
        <w:t xml:space="preserve"> above.) </w:t>
      </w:r>
      <w:r w:rsidR="00B70447">
        <w:t>Indeed, while Clause 6.3</w:t>
      </w:r>
      <w:r>
        <w:t xml:space="preserve"> permits variations to the works if they are required by the terms of any Approval (which includes any planning permission) that is itself subject to Clause 6.2.</w:t>
      </w:r>
    </w:p>
    <w:p w:rsidR="00D65933" w:rsidRDefault="00D65933" w:rsidP="00D65933">
      <w:pPr>
        <w:pStyle w:val="Heading2"/>
      </w:pPr>
      <w:r>
        <w:t xml:space="preserve">The Individual Rooms </w:t>
      </w:r>
    </w:p>
    <w:p w:rsidR="00D65933" w:rsidRDefault="00D65933" w:rsidP="00D65933">
      <w:pPr>
        <w:pStyle w:val="Heading3"/>
      </w:pPr>
      <w:r>
        <w:t>Block B Bedrooms</w:t>
      </w:r>
    </w:p>
    <w:p w:rsidR="00D65933" w:rsidRDefault="00D65933" w:rsidP="00D65933">
      <w:pPr>
        <w:pStyle w:val="TGLevel1"/>
      </w:pPr>
      <w:bookmarkStart w:id="5" w:name="_Ref531713536"/>
      <w:r>
        <w:t xml:space="preserve">There are 29 relevant bedrooms here, across 10 floors, and are shown by the type Cx11, Cx12 and Cx13 on the drawing. </w:t>
      </w:r>
      <w:r w:rsidR="00CC324C">
        <w:t xml:space="preserve">The deviation here is at least </w:t>
      </w:r>
      <w:r w:rsidR="00B70447">
        <w:t xml:space="preserve"> 1 m²</w:t>
      </w:r>
      <w:r w:rsidR="00CC324C">
        <w:t xml:space="preserve">. </w:t>
      </w:r>
      <w:r>
        <w:t>The only point made here is that current layouts for such rooms were contained in Annex A to the AFL. But those layouts did not include sizes and therefore do not prevent a breach of contract by reference to the deviation from the sizes shown in the Planning Drawings.</w:t>
      </w:r>
      <w:bookmarkEnd w:id="5"/>
      <w:r>
        <w:t xml:space="preserve"> </w:t>
      </w:r>
    </w:p>
    <w:p w:rsidR="00D65933" w:rsidRDefault="00D744BD" w:rsidP="00D65933">
      <w:pPr>
        <w:pStyle w:val="Heading3"/>
      </w:pPr>
      <w:r>
        <w:t>K1  T</w:t>
      </w:r>
      <w:r w:rsidR="00D65933">
        <w:t>ype Kitchens in Block A</w:t>
      </w:r>
    </w:p>
    <w:p w:rsidR="00D65933" w:rsidRDefault="00B70447" w:rsidP="00D65933">
      <w:pPr>
        <w:pStyle w:val="TGLevel1"/>
      </w:pPr>
      <w:bookmarkStart w:id="6" w:name="_Ref531713548"/>
      <w:r>
        <w:t>There are 7</w:t>
      </w:r>
      <w:r w:rsidR="00D65933">
        <w:t xml:space="preserve"> of these, across </w:t>
      </w:r>
      <w:r>
        <w:t>7</w:t>
      </w:r>
      <w:r w:rsidR="00D65933">
        <w:t xml:space="preserve"> floors.</w:t>
      </w:r>
      <w:r w:rsidR="00CC324C">
        <w:t xml:space="preserve"> The deviation is 2 </w:t>
      </w:r>
      <w:r>
        <w:t>m²</w:t>
      </w:r>
      <w:r w:rsidR="00CC324C">
        <w:t xml:space="preserve">. Again they are on the Layout </w:t>
      </w:r>
      <w:r>
        <w:t xml:space="preserve">Drawings </w:t>
      </w:r>
      <w:r w:rsidR="00CC324C">
        <w:t>but no sizes are provided. In cross-examination Mr Taylor of Mears said that it seemed to be the case that the schedule of layout</w:t>
      </w:r>
      <w:r>
        <w:t>s</w:t>
      </w:r>
      <w:r w:rsidR="00CC324C">
        <w:t xml:space="preserve"> contained a far more detailed representation of how the kitchen was going to be built and the equipment going into it. He then was asked whether</w:t>
      </w:r>
      <w:r>
        <w:t>,</w:t>
      </w:r>
      <w:r w:rsidR="00CC324C">
        <w:t xml:space="preserve"> if he was unhappy with either the size or the layout of that kitchen that was the time he should have raised some questions</w:t>
      </w:r>
      <w:r>
        <w:t>,</w:t>
      </w:r>
      <w:r w:rsidR="00CC324C">
        <w:t xml:space="preserve"> to which he said he suspected he should. But that point does not go anywhere. It does not by any means follow that Mr Taylor accepted whatever size might have been implicit in those layouts (using the scale) bu</w:t>
      </w:r>
      <w:r>
        <w:t>t was not stated. Therefore there</w:t>
      </w:r>
      <w:r w:rsidR="00CC324C">
        <w:t xml:space="preserve"> would have been no reason for him to be unhappy with the size especially where the size had been explicitly stated in the Planning Drawings. And the fact that the </w:t>
      </w:r>
      <w:r>
        <w:t>L</w:t>
      </w:r>
      <w:r w:rsidR="00CC324C">
        <w:t xml:space="preserve">ayout </w:t>
      </w:r>
      <w:r>
        <w:t xml:space="preserve">Drawings </w:t>
      </w:r>
      <w:r w:rsidR="00CC324C">
        <w:t>contained a more detailed representati</w:t>
      </w:r>
      <w:r>
        <w:t>on of the kitchens as</w:t>
      </w:r>
      <w:r w:rsidR="00CC324C">
        <w:t xml:space="preserve"> built and its equipment again does not indicate any acceptance that</w:t>
      </w:r>
      <w:r>
        <w:t>,</w:t>
      </w:r>
      <w:r w:rsidR="00CC324C">
        <w:t xml:space="preserve"> whatever the size of the kitchen as built</w:t>
      </w:r>
      <w:r>
        <w:t>,</w:t>
      </w:r>
      <w:r w:rsidR="00CC324C">
        <w:t xml:space="preserve"> there could be no complaint.</w:t>
      </w:r>
      <w:bookmarkEnd w:id="6"/>
    </w:p>
    <w:p w:rsidR="00CC324C" w:rsidRDefault="00CC324C" w:rsidP="00CC324C">
      <w:pPr>
        <w:pStyle w:val="Heading3"/>
      </w:pPr>
      <w:r>
        <w:t xml:space="preserve">Kitchen Type K3 Block A – the “typo” </w:t>
      </w:r>
    </w:p>
    <w:p w:rsidR="00CC324C" w:rsidRDefault="00CC324C" w:rsidP="00D65933">
      <w:pPr>
        <w:pStyle w:val="TGLevel1"/>
      </w:pPr>
      <w:r>
        <w:t>This does not now arise because this particular kitchen did not deviate materially from the size shown in the governing Planning Drawings.</w:t>
      </w:r>
    </w:p>
    <w:p w:rsidR="00CC324C" w:rsidRDefault="00CC324C" w:rsidP="00CC324C">
      <w:pPr>
        <w:pStyle w:val="Heading3"/>
      </w:pPr>
      <w:r>
        <w:t>Type K7 Kitchens Block A</w:t>
      </w:r>
    </w:p>
    <w:p w:rsidR="00CC324C" w:rsidRDefault="00B70447" w:rsidP="00D65933">
      <w:pPr>
        <w:pStyle w:val="TGLevel1"/>
      </w:pPr>
      <w:r>
        <w:t>T</w:t>
      </w:r>
      <w:r w:rsidR="00CC324C">
        <w:t xml:space="preserve">here are </w:t>
      </w:r>
      <w:r>
        <w:t>7</w:t>
      </w:r>
      <w:r w:rsidR="00CC324C">
        <w:t xml:space="preserve"> of these and</w:t>
      </w:r>
      <w:r>
        <w:t xml:space="preserve"> the deviation is 1.5 m². Only two</w:t>
      </w:r>
      <w:r w:rsidR="00CC324C">
        <w:t xml:space="preserve"> points are made. First, that these kitchens do not in fact have to serve one disabled cluster room because there is now a separate disabled studio with its own kitchen. And second, that in fact the K7 kitchens as built are themselves still larger than the K8 kitchens which are not complained about. Neither of those points affect the fact of breach.</w:t>
      </w:r>
    </w:p>
    <w:p w:rsidR="00CC324C" w:rsidRDefault="00CC324C" w:rsidP="00CC324C">
      <w:pPr>
        <w:pStyle w:val="Heading3"/>
      </w:pPr>
      <w:r>
        <w:t xml:space="preserve">Type </w:t>
      </w:r>
      <w:r w:rsidR="008C44B8">
        <w:t>Bx35 Bedrooms Block A</w:t>
      </w:r>
      <w:r>
        <w:t xml:space="preserve"> </w:t>
      </w:r>
    </w:p>
    <w:p w:rsidR="00CC324C" w:rsidRDefault="00B70447" w:rsidP="00D65933">
      <w:pPr>
        <w:pStyle w:val="TGLevel1"/>
      </w:pPr>
      <w:r>
        <w:t>T</w:t>
      </w:r>
      <w:r w:rsidR="008C44B8">
        <w:t>here are 9 of these and the deviation is 1.3 m². The only point made here is that if added together with an adjoining bedroom the overall area would not be a deviation. But that does not affect breach.</w:t>
      </w:r>
    </w:p>
    <w:p w:rsidR="008C44B8" w:rsidRDefault="008C44B8" w:rsidP="008C44B8">
      <w:pPr>
        <w:pStyle w:val="Heading3"/>
      </w:pPr>
      <w:r>
        <w:t xml:space="preserve">Laundry and bin stores </w:t>
      </w:r>
      <w:r w:rsidR="00B70447">
        <w:t>in Lower Ground Floor Block A</w:t>
      </w:r>
    </w:p>
    <w:p w:rsidR="008C44B8" w:rsidRDefault="008C44B8" w:rsidP="00B70447">
      <w:pPr>
        <w:pStyle w:val="TGLevel1"/>
      </w:pPr>
      <w:r>
        <w:t>It</w:t>
      </w:r>
      <w:r w:rsidR="00B70447">
        <w:t xml:space="preserve"> is accepted that these are out</w:t>
      </w:r>
      <w:r>
        <w:t>with the 3% margin and indeed deviate from the current drawings. In respect of the bin stores Mr O’Connor said that they would have raised concerns if they had any a</w:t>
      </w:r>
      <w:r w:rsidR="00B70447">
        <w:t xml:space="preserve">bout the size of the bin stores. That </w:t>
      </w:r>
      <w:r>
        <w:t>does not go very far because again, there was not at that stage any appreciation that they were smaller than the Planning Drawings. He said that he would have expected to have been alerted</w:t>
      </w:r>
      <w:r w:rsidR="00EB1709">
        <w:t xml:space="preserve"> by Pickstock to any reduction in size. It may well be the case that the bin store could nonetheless still accommodate all the required bins but that goes to the nature and extent of the breach</w:t>
      </w:r>
      <w:r w:rsidR="00B70447">
        <w:t>,</w:t>
      </w:r>
      <w:r w:rsidR="00EB1709">
        <w:t xml:space="preserve"> not to whether it occurred. So far as the laundry is concerned, it appears that the reduction in size could possibly be remedied by removing a stud wall at one end. Mr Collins was not sure whether that could in fact be done. But again, that does not affect the fact of the breach.</w:t>
      </w:r>
    </w:p>
    <w:p w:rsidR="00EB1709" w:rsidRDefault="00EB1709" w:rsidP="00D65933">
      <w:pPr>
        <w:pStyle w:val="TGLevel1"/>
      </w:pPr>
      <w:r>
        <w:t>Finally, even if I was wrong about the breach in respect of the bin stores and laundry room, the other breaches make it plain that Declaration 5 is obviously made out.</w:t>
      </w:r>
    </w:p>
    <w:p w:rsidR="00BC14C3" w:rsidRDefault="00EB1709" w:rsidP="00BC14C3">
      <w:pPr>
        <w:pStyle w:val="Heading1"/>
      </w:pPr>
      <w:r>
        <w:t xml:space="preserve">Conclusion </w:t>
      </w:r>
    </w:p>
    <w:p w:rsidR="00EB1709" w:rsidRDefault="00EB1709" w:rsidP="00BC14C3">
      <w:pPr>
        <w:pStyle w:val="TGLevel1"/>
      </w:pPr>
      <w:r>
        <w:t xml:space="preserve">For all the reasons given above, I refuse to make Declarations </w:t>
      </w:r>
      <w:r w:rsidR="00DD5C5C">
        <w:t>1</w:t>
      </w:r>
      <w:r>
        <w:t>-4, but I do make Declaration 5.</w:t>
      </w:r>
      <w:r w:rsidR="00A03733">
        <w:t xml:space="preserve"> I am extremely grateful to all Counsel for their assistance and submissions. </w:t>
      </w:r>
    </w:p>
    <w:sectPr w:rsidR="00EB1709" w:rsidSect="003C47E6">
      <w:footerReference w:type="default" r:id="rId9"/>
      <w:pgSz w:w="11906" w:h="16838"/>
      <w:pgMar w:top="993" w:right="1133" w:bottom="144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DAD" w:rsidRDefault="00324DAD">
      <w:r>
        <w:separator/>
      </w:r>
    </w:p>
  </w:endnote>
  <w:endnote w:type="continuationSeparator" w:id="0">
    <w:p w:rsidR="00324DAD" w:rsidRDefault="0032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550" w:rsidRDefault="00DE6550">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D744BD">
      <w:rPr>
        <w:rStyle w:val="PageNumber"/>
        <w:noProof/>
        <w:sz w:val="20"/>
      </w:rPr>
      <w:t>31</w:t>
    </w:r>
    <w:r>
      <w:rPr>
        <w:rStyle w:val="PageNumber"/>
        <w:sz w:val="20"/>
      </w:rPr>
      <w:fldChar w:fldCharType="end"/>
    </w:r>
  </w:p>
  <w:p w:rsidR="00DE6550" w:rsidRDefault="00DE65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DAD" w:rsidRDefault="00324DAD">
      <w:r>
        <w:separator/>
      </w:r>
    </w:p>
  </w:footnote>
  <w:footnote w:type="continuationSeparator" w:id="0">
    <w:p w:rsidR="00324DAD" w:rsidRDefault="00324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598E"/>
    <w:multiLevelType w:val="multilevel"/>
    <w:tmpl w:val="A41678E2"/>
    <w:lvl w:ilvl="0">
      <w:start w:val="1"/>
      <w:numFmt w:val="decimal"/>
      <w:pStyle w:val="Heading4"/>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decimal"/>
      <w:lvlText w:val="(%6)"/>
      <w:lvlJc w:val="left"/>
      <w:pPr>
        <w:tabs>
          <w:tab w:val="num" w:pos="2880"/>
        </w:tabs>
        <w:ind w:left="2880" w:hanging="72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AAE6F93"/>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6C93132"/>
    <w:multiLevelType w:val="singleLevel"/>
    <w:tmpl w:val="2CCAC760"/>
    <w:lvl w:ilvl="0">
      <w:start w:val="1"/>
      <w:numFmt w:val="decimal"/>
      <w:lvlText w:val="5.%1"/>
      <w:legacy w:legacy="1" w:legacySpace="0" w:legacyIndent="624"/>
      <w:lvlJc w:val="left"/>
      <w:rPr>
        <w:rFonts w:ascii="Arial" w:hAnsi="Arial" w:cs="Arial" w:hint="default"/>
      </w:rPr>
    </w:lvl>
  </w:abstractNum>
  <w:abstractNum w:abstractNumId="3" w15:restartNumberingAfterBreak="0">
    <w:nsid w:val="27482F5A"/>
    <w:multiLevelType w:val="singleLevel"/>
    <w:tmpl w:val="B21ED568"/>
    <w:lvl w:ilvl="0">
      <w:start w:val="1"/>
      <w:numFmt w:val="decimal"/>
      <w:lvlText w:val="6.3.%1"/>
      <w:legacy w:legacy="1" w:legacySpace="0" w:legacyIndent="629"/>
      <w:lvlJc w:val="left"/>
      <w:rPr>
        <w:rFonts w:ascii="Arial" w:hAnsi="Arial" w:cs="Arial" w:hint="default"/>
      </w:rPr>
    </w:lvl>
  </w:abstractNum>
  <w:abstractNum w:abstractNumId="4" w15:restartNumberingAfterBreak="0">
    <w:nsid w:val="35BE040D"/>
    <w:multiLevelType w:val="multilevel"/>
    <w:tmpl w:val="CEB0C0C0"/>
    <w:lvl w:ilvl="0">
      <w:start w:val="1"/>
      <w:numFmt w:val="decimal"/>
      <w:pStyle w:val="TGLevel1"/>
      <w:lvlText w:val="%1."/>
      <w:lvlJc w:val="left"/>
      <w:pPr>
        <w:tabs>
          <w:tab w:val="num" w:pos="851"/>
        </w:tabs>
        <w:ind w:left="851" w:hanging="851"/>
      </w:pPr>
    </w:lvl>
    <w:lvl w:ilvl="1">
      <w:start w:val="1"/>
      <w:numFmt w:val="decimal"/>
      <w:pStyle w:val="TGLevel2"/>
      <w:lvlText w:val="(%2)"/>
      <w:lvlJc w:val="left"/>
      <w:pPr>
        <w:tabs>
          <w:tab w:val="num" w:pos="1418"/>
        </w:tabs>
        <w:ind w:left="1418" w:hanging="709"/>
      </w:pPr>
      <w:rPr>
        <w:b w:val="0"/>
        <w:i w:val="0"/>
      </w:rPr>
    </w:lvl>
    <w:lvl w:ilvl="2">
      <w:start w:val="1"/>
      <w:numFmt w:val="lowerLetter"/>
      <w:pStyle w:val="TGLevel3"/>
      <w:lvlText w:val="(%3)"/>
      <w:lvlJc w:val="left"/>
      <w:pPr>
        <w:tabs>
          <w:tab w:val="num" w:pos="3459"/>
        </w:tabs>
        <w:ind w:left="3459" w:hanging="2041"/>
      </w:pPr>
      <w:rPr>
        <w:b w:val="0"/>
        <w:i w:val="0"/>
        <w:u w:val="none"/>
      </w:rPr>
    </w:lvl>
    <w:lvl w:ilvl="3">
      <w:start w:val="1"/>
      <w:numFmt w:val="lowerRoman"/>
      <w:pStyle w:val="TGLevel4"/>
      <w:lvlText w:val="(%4)"/>
      <w:lvlJc w:val="left"/>
      <w:pPr>
        <w:tabs>
          <w:tab w:val="num" w:pos="2988"/>
        </w:tabs>
        <w:ind w:left="2552" w:hanging="284"/>
      </w:pPr>
    </w:lvl>
    <w:lvl w:ilvl="4">
      <w:start w:val="1"/>
      <w:numFmt w:val="lowerRoman"/>
      <w:pStyle w:val="TGLevel5"/>
      <w:lvlText w:val="(%5)"/>
      <w:lvlJc w:val="left"/>
      <w:pPr>
        <w:tabs>
          <w:tab w:val="num" w:pos="2138"/>
        </w:tabs>
        <w:ind w:left="1985" w:hanging="567"/>
      </w:pPr>
    </w:lvl>
    <w:lvl w:ilvl="5">
      <w:start w:val="1"/>
      <w:numFmt w:val="decimal"/>
      <w:pStyle w:val="TGLevel6"/>
      <w:lvlText w:val="(%6)"/>
      <w:lvlJc w:val="left"/>
      <w:pPr>
        <w:tabs>
          <w:tab w:val="num" w:pos="2552"/>
        </w:tabs>
        <w:ind w:left="2552" w:hanging="567"/>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5" w15:restartNumberingAfterBreak="0">
    <w:nsid w:val="3EAB5DAB"/>
    <w:multiLevelType w:val="singleLevel"/>
    <w:tmpl w:val="6A9C7056"/>
    <w:lvl w:ilvl="0">
      <w:start w:val="1"/>
      <w:numFmt w:val="decimal"/>
      <w:lvlText w:val="14.%1"/>
      <w:legacy w:legacy="1" w:legacySpace="0" w:legacyIndent="605"/>
      <w:lvlJc w:val="left"/>
      <w:rPr>
        <w:rFonts w:ascii="Arial" w:hAnsi="Arial" w:cs="Arial" w:hint="default"/>
      </w:rPr>
    </w:lvl>
  </w:abstractNum>
  <w:abstractNum w:abstractNumId="6" w15:restartNumberingAfterBreak="0">
    <w:nsid w:val="6485010E"/>
    <w:multiLevelType w:val="singleLevel"/>
    <w:tmpl w:val="693481F8"/>
    <w:lvl w:ilvl="0">
      <w:start w:val="1"/>
      <w:numFmt w:val="decimal"/>
      <w:lvlText w:val="15.%1"/>
      <w:legacy w:legacy="1" w:legacySpace="0" w:legacyIndent="614"/>
      <w:lvlJc w:val="left"/>
      <w:rPr>
        <w:rFonts w:ascii="Arial" w:hAnsi="Arial" w:cs="Arial" w:hint="default"/>
      </w:rPr>
    </w:lvl>
  </w:abstractNum>
  <w:num w:numId="1">
    <w:abstractNumId w:val="0"/>
  </w:num>
  <w:num w:numId="2">
    <w:abstractNumId w:val="4"/>
  </w:num>
  <w:num w:numId="3">
    <w:abstractNumId w:val="4"/>
  </w:num>
  <w:num w:numId="4">
    <w:abstractNumId w:val="4"/>
  </w:num>
  <w:num w:numId="5">
    <w:abstractNumId w:val="4"/>
  </w:num>
  <w:num w:numId="6">
    <w:abstractNumId w:val="4"/>
  </w:num>
  <w:num w:numId="7">
    <w:abstractNumId w:val="4"/>
  </w:num>
  <w:num w:numId="8">
    <w:abstractNumId w:val="1"/>
  </w:num>
  <w:num w:numId="9">
    <w:abstractNumId w:val="2"/>
  </w:num>
  <w:num w:numId="10">
    <w:abstractNumId w:val="3"/>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332461-CD8E-4136-AEBD-A69C38D3E0A7}"/>
    <w:docVar w:name="dgnword-eventsink" w:val="470508224"/>
  </w:docVars>
  <w:rsids>
    <w:rsidRoot w:val="00D73A37"/>
    <w:rsid w:val="0000457A"/>
    <w:rsid w:val="0002148A"/>
    <w:rsid w:val="00030FA0"/>
    <w:rsid w:val="00037BB6"/>
    <w:rsid w:val="00042807"/>
    <w:rsid w:val="0004551B"/>
    <w:rsid w:val="0005360E"/>
    <w:rsid w:val="00055AAF"/>
    <w:rsid w:val="00065E5A"/>
    <w:rsid w:val="00075701"/>
    <w:rsid w:val="000766A2"/>
    <w:rsid w:val="0008488C"/>
    <w:rsid w:val="0009358C"/>
    <w:rsid w:val="000A265D"/>
    <w:rsid w:val="000A3576"/>
    <w:rsid w:val="000A3C43"/>
    <w:rsid w:val="000B1E85"/>
    <w:rsid w:val="000B7282"/>
    <w:rsid w:val="000C057D"/>
    <w:rsid w:val="000C6160"/>
    <w:rsid w:val="000D578A"/>
    <w:rsid w:val="000D5A04"/>
    <w:rsid w:val="000E2D0F"/>
    <w:rsid w:val="000F1570"/>
    <w:rsid w:val="0010721A"/>
    <w:rsid w:val="0010767B"/>
    <w:rsid w:val="00126B39"/>
    <w:rsid w:val="00132174"/>
    <w:rsid w:val="001375DD"/>
    <w:rsid w:val="0014687C"/>
    <w:rsid w:val="00153A7B"/>
    <w:rsid w:val="00155831"/>
    <w:rsid w:val="00155F94"/>
    <w:rsid w:val="00184648"/>
    <w:rsid w:val="00185900"/>
    <w:rsid w:val="001A2160"/>
    <w:rsid w:val="001B1DBE"/>
    <w:rsid w:val="001C54BD"/>
    <w:rsid w:val="001C7CF6"/>
    <w:rsid w:val="001D432B"/>
    <w:rsid w:val="001D4361"/>
    <w:rsid w:val="001E0304"/>
    <w:rsid w:val="001E1975"/>
    <w:rsid w:val="001E2239"/>
    <w:rsid w:val="001E39DA"/>
    <w:rsid w:val="001F0506"/>
    <w:rsid w:val="001F6737"/>
    <w:rsid w:val="001F797B"/>
    <w:rsid w:val="00200561"/>
    <w:rsid w:val="00201B18"/>
    <w:rsid w:val="00212F72"/>
    <w:rsid w:val="0022612D"/>
    <w:rsid w:val="002350FB"/>
    <w:rsid w:val="00240755"/>
    <w:rsid w:val="00241BB5"/>
    <w:rsid w:val="00245484"/>
    <w:rsid w:val="00261B74"/>
    <w:rsid w:val="002664D9"/>
    <w:rsid w:val="00270AFA"/>
    <w:rsid w:val="00274733"/>
    <w:rsid w:val="00286D6C"/>
    <w:rsid w:val="002A0B99"/>
    <w:rsid w:val="002A66A6"/>
    <w:rsid w:val="002B7F3E"/>
    <w:rsid w:val="002E2020"/>
    <w:rsid w:val="002E58E7"/>
    <w:rsid w:val="002F2FBA"/>
    <w:rsid w:val="002F77A3"/>
    <w:rsid w:val="003111D1"/>
    <w:rsid w:val="00314590"/>
    <w:rsid w:val="003178B1"/>
    <w:rsid w:val="0032033B"/>
    <w:rsid w:val="00324DAD"/>
    <w:rsid w:val="003331BF"/>
    <w:rsid w:val="00343058"/>
    <w:rsid w:val="00355309"/>
    <w:rsid w:val="00365E93"/>
    <w:rsid w:val="00366EFC"/>
    <w:rsid w:val="00370114"/>
    <w:rsid w:val="00376FD6"/>
    <w:rsid w:val="00387164"/>
    <w:rsid w:val="00393EDE"/>
    <w:rsid w:val="00394B20"/>
    <w:rsid w:val="00397E24"/>
    <w:rsid w:val="003B330B"/>
    <w:rsid w:val="003B3654"/>
    <w:rsid w:val="003B3CE3"/>
    <w:rsid w:val="003B40B3"/>
    <w:rsid w:val="003B6C08"/>
    <w:rsid w:val="003C47E6"/>
    <w:rsid w:val="003E03B2"/>
    <w:rsid w:val="003E08DD"/>
    <w:rsid w:val="003F6299"/>
    <w:rsid w:val="00401178"/>
    <w:rsid w:val="00406AF7"/>
    <w:rsid w:val="004125F2"/>
    <w:rsid w:val="004201E5"/>
    <w:rsid w:val="00421E20"/>
    <w:rsid w:val="00422AC2"/>
    <w:rsid w:val="00431B35"/>
    <w:rsid w:val="0043699A"/>
    <w:rsid w:val="004528BB"/>
    <w:rsid w:val="00453CBC"/>
    <w:rsid w:val="00454C3A"/>
    <w:rsid w:val="00460AB2"/>
    <w:rsid w:val="004655E0"/>
    <w:rsid w:val="00475FE6"/>
    <w:rsid w:val="00493013"/>
    <w:rsid w:val="004A23FD"/>
    <w:rsid w:val="004B0E72"/>
    <w:rsid w:val="004B16CD"/>
    <w:rsid w:val="004B3A44"/>
    <w:rsid w:val="004B6491"/>
    <w:rsid w:val="004C4F94"/>
    <w:rsid w:val="004E266C"/>
    <w:rsid w:val="004E2CC6"/>
    <w:rsid w:val="004E3BA8"/>
    <w:rsid w:val="00500386"/>
    <w:rsid w:val="005014AF"/>
    <w:rsid w:val="00513433"/>
    <w:rsid w:val="0054047B"/>
    <w:rsid w:val="00553FBE"/>
    <w:rsid w:val="00565EFE"/>
    <w:rsid w:val="005727A9"/>
    <w:rsid w:val="00575DC3"/>
    <w:rsid w:val="00581881"/>
    <w:rsid w:val="005A5882"/>
    <w:rsid w:val="005B021F"/>
    <w:rsid w:val="005B1AAC"/>
    <w:rsid w:val="005C0EE7"/>
    <w:rsid w:val="005D72A4"/>
    <w:rsid w:val="005E191E"/>
    <w:rsid w:val="005E3AE0"/>
    <w:rsid w:val="005E58F6"/>
    <w:rsid w:val="005E5AD7"/>
    <w:rsid w:val="00603FD2"/>
    <w:rsid w:val="00615471"/>
    <w:rsid w:val="006367A0"/>
    <w:rsid w:val="00650A37"/>
    <w:rsid w:val="0065172E"/>
    <w:rsid w:val="00656F59"/>
    <w:rsid w:val="00691245"/>
    <w:rsid w:val="00692031"/>
    <w:rsid w:val="006972E5"/>
    <w:rsid w:val="006E1D97"/>
    <w:rsid w:val="006E4C32"/>
    <w:rsid w:val="006F50FF"/>
    <w:rsid w:val="007048F2"/>
    <w:rsid w:val="00704AF7"/>
    <w:rsid w:val="00722099"/>
    <w:rsid w:val="007323CD"/>
    <w:rsid w:val="0073350D"/>
    <w:rsid w:val="00736AAC"/>
    <w:rsid w:val="00753429"/>
    <w:rsid w:val="00754998"/>
    <w:rsid w:val="00754A00"/>
    <w:rsid w:val="007729A2"/>
    <w:rsid w:val="00773453"/>
    <w:rsid w:val="00786DCE"/>
    <w:rsid w:val="007A10F7"/>
    <w:rsid w:val="007A12D7"/>
    <w:rsid w:val="007A1F3C"/>
    <w:rsid w:val="007A2112"/>
    <w:rsid w:val="007A522F"/>
    <w:rsid w:val="007C7BB0"/>
    <w:rsid w:val="007E35A7"/>
    <w:rsid w:val="007F25E7"/>
    <w:rsid w:val="00800A91"/>
    <w:rsid w:val="008033E3"/>
    <w:rsid w:val="00815420"/>
    <w:rsid w:val="00817D8E"/>
    <w:rsid w:val="00823AE3"/>
    <w:rsid w:val="00825B5B"/>
    <w:rsid w:val="00832317"/>
    <w:rsid w:val="0083685D"/>
    <w:rsid w:val="00837C0B"/>
    <w:rsid w:val="00842834"/>
    <w:rsid w:val="00854A4E"/>
    <w:rsid w:val="00870A5C"/>
    <w:rsid w:val="00871B11"/>
    <w:rsid w:val="00875570"/>
    <w:rsid w:val="008858D5"/>
    <w:rsid w:val="00894F50"/>
    <w:rsid w:val="008A4594"/>
    <w:rsid w:val="008A4876"/>
    <w:rsid w:val="008B0A86"/>
    <w:rsid w:val="008B3AA2"/>
    <w:rsid w:val="008C44B8"/>
    <w:rsid w:val="008C74E9"/>
    <w:rsid w:val="008F3A15"/>
    <w:rsid w:val="008F77EB"/>
    <w:rsid w:val="00901C0D"/>
    <w:rsid w:val="0090230A"/>
    <w:rsid w:val="009023C2"/>
    <w:rsid w:val="0091759C"/>
    <w:rsid w:val="009250EB"/>
    <w:rsid w:val="00932C8C"/>
    <w:rsid w:val="00944069"/>
    <w:rsid w:val="00955F91"/>
    <w:rsid w:val="009626FC"/>
    <w:rsid w:val="009722B9"/>
    <w:rsid w:val="00973D83"/>
    <w:rsid w:val="00983603"/>
    <w:rsid w:val="00991B50"/>
    <w:rsid w:val="009A305B"/>
    <w:rsid w:val="009B5217"/>
    <w:rsid w:val="009B6A26"/>
    <w:rsid w:val="009C023B"/>
    <w:rsid w:val="009C2BEB"/>
    <w:rsid w:val="009D5C54"/>
    <w:rsid w:val="009E6C9A"/>
    <w:rsid w:val="009E72A0"/>
    <w:rsid w:val="009F7DEC"/>
    <w:rsid w:val="00A03733"/>
    <w:rsid w:val="00A152D1"/>
    <w:rsid w:val="00A16E42"/>
    <w:rsid w:val="00A36FFA"/>
    <w:rsid w:val="00A460FE"/>
    <w:rsid w:val="00A51DC3"/>
    <w:rsid w:val="00A573F0"/>
    <w:rsid w:val="00A57CCA"/>
    <w:rsid w:val="00A61FC6"/>
    <w:rsid w:val="00A70EF1"/>
    <w:rsid w:val="00A7539E"/>
    <w:rsid w:val="00A768E4"/>
    <w:rsid w:val="00A826FC"/>
    <w:rsid w:val="00A834D7"/>
    <w:rsid w:val="00A964BF"/>
    <w:rsid w:val="00A967D3"/>
    <w:rsid w:val="00A9781F"/>
    <w:rsid w:val="00AA3176"/>
    <w:rsid w:val="00AB3B3F"/>
    <w:rsid w:val="00AB3FEE"/>
    <w:rsid w:val="00AB6F7A"/>
    <w:rsid w:val="00AC15D6"/>
    <w:rsid w:val="00AC1609"/>
    <w:rsid w:val="00AD1A7D"/>
    <w:rsid w:val="00AE06D1"/>
    <w:rsid w:val="00AE638A"/>
    <w:rsid w:val="00AE7FC5"/>
    <w:rsid w:val="00AF70AF"/>
    <w:rsid w:val="00B031A4"/>
    <w:rsid w:val="00B04D60"/>
    <w:rsid w:val="00B05FF6"/>
    <w:rsid w:val="00B1098D"/>
    <w:rsid w:val="00B14B40"/>
    <w:rsid w:val="00B17252"/>
    <w:rsid w:val="00B21BE5"/>
    <w:rsid w:val="00B22A6C"/>
    <w:rsid w:val="00B44433"/>
    <w:rsid w:val="00B45818"/>
    <w:rsid w:val="00B525AB"/>
    <w:rsid w:val="00B55208"/>
    <w:rsid w:val="00B57A35"/>
    <w:rsid w:val="00B632FA"/>
    <w:rsid w:val="00B70447"/>
    <w:rsid w:val="00B84BA1"/>
    <w:rsid w:val="00B90BC1"/>
    <w:rsid w:val="00B94122"/>
    <w:rsid w:val="00B94E93"/>
    <w:rsid w:val="00B96D1F"/>
    <w:rsid w:val="00B97F7B"/>
    <w:rsid w:val="00BA6F38"/>
    <w:rsid w:val="00BB21BB"/>
    <w:rsid w:val="00BB61B7"/>
    <w:rsid w:val="00BC0CEF"/>
    <w:rsid w:val="00BC14C3"/>
    <w:rsid w:val="00BD300B"/>
    <w:rsid w:val="00BE153E"/>
    <w:rsid w:val="00BE4DEB"/>
    <w:rsid w:val="00BF2341"/>
    <w:rsid w:val="00BF235C"/>
    <w:rsid w:val="00BF4B9F"/>
    <w:rsid w:val="00BF4C87"/>
    <w:rsid w:val="00C019C8"/>
    <w:rsid w:val="00C1427E"/>
    <w:rsid w:val="00C21699"/>
    <w:rsid w:val="00C22332"/>
    <w:rsid w:val="00C32CEF"/>
    <w:rsid w:val="00C37952"/>
    <w:rsid w:val="00C436A6"/>
    <w:rsid w:val="00C520C1"/>
    <w:rsid w:val="00C55FB4"/>
    <w:rsid w:val="00C708DC"/>
    <w:rsid w:val="00C755A2"/>
    <w:rsid w:val="00C807D5"/>
    <w:rsid w:val="00C90E75"/>
    <w:rsid w:val="00C915A7"/>
    <w:rsid w:val="00C95911"/>
    <w:rsid w:val="00CA3373"/>
    <w:rsid w:val="00CC324C"/>
    <w:rsid w:val="00CF044C"/>
    <w:rsid w:val="00D2183B"/>
    <w:rsid w:val="00D23C6A"/>
    <w:rsid w:val="00D30106"/>
    <w:rsid w:val="00D31589"/>
    <w:rsid w:val="00D31A71"/>
    <w:rsid w:val="00D333B8"/>
    <w:rsid w:val="00D42E94"/>
    <w:rsid w:val="00D65933"/>
    <w:rsid w:val="00D72E02"/>
    <w:rsid w:val="00D73A37"/>
    <w:rsid w:val="00D744BD"/>
    <w:rsid w:val="00D762AD"/>
    <w:rsid w:val="00D86273"/>
    <w:rsid w:val="00D9103A"/>
    <w:rsid w:val="00D939AB"/>
    <w:rsid w:val="00D9731F"/>
    <w:rsid w:val="00DC01D1"/>
    <w:rsid w:val="00DD0F7C"/>
    <w:rsid w:val="00DD3E52"/>
    <w:rsid w:val="00DD4798"/>
    <w:rsid w:val="00DD5C5C"/>
    <w:rsid w:val="00DE6550"/>
    <w:rsid w:val="00DF1C34"/>
    <w:rsid w:val="00E015FC"/>
    <w:rsid w:val="00E03998"/>
    <w:rsid w:val="00E0598F"/>
    <w:rsid w:val="00E15EF7"/>
    <w:rsid w:val="00E45FF7"/>
    <w:rsid w:val="00E53B66"/>
    <w:rsid w:val="00E54582"/>
    <w:rsid w:val="00E74B92"/>
    <w:rsid w:val="00EB0297"/>
    <w:rsid w:val="00EB1709"/>
    <w:rsid w:val="00EC7328"/>
    <w:rsid w:val="00EE2FF6"/>
    <w:rsid w:val="00EE5E8A"/>
    <w:rsid w:val="00F03205"/>
    <w:rsid w:val="00F20B90"/>
    <w:rsid w:val="00F273E5"/>
    <w:rsid w:val="00F27AEE"/>
    <w:rsid w:val="00F45E27"/>
    <w:rsid w:val="00F543EC"/>
    <w:rsid w:val="00F5637F"/>
    <w:rsid w:val="00F64D2E"/>
    <w:rsid w:val="00F663F7"/>
    <w:rsid w:val="00F73275"/>
    <w:rsid w:val="00F7553E"/>
    <w:rsid w:val="00F7751B"/>
    <w:rsid w:val="00F936C6"/>
    <w:rsid w:val="00FA22D2"/>
    <w:rsid w:val="00FA4AE2"/>
    <w:rsid w:val="00FB4BEA"/>
    <w:rsid w:val="00FC315E"/>
    <w:rsid w:val="00FF3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6CA436-924B-4166-A46E-E7D3A218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751B"/>
    <w:rPr>
      <w:sz w:val="24"/>
      <w:szCs w:val="24"/>
    </w:rPr>
  </w:style>
  <w:style w:type="paragraph" w:styleId="Heading1">
    <w:name w:val="heading 1"/>
    <w:basedOn w:val="Normal"/>
    <w:next w:val="Normal"/>
    <w:qFormat/>
    <w:pPr>
      <w:keepNext/>
      <w:spacing w:before="120"/>
      <w:jc w:val="both"/>
      <w:outlineLvl w:val="0"/>
    </w:pPr>
    <w:rPr>
      <w:b/>
      <w:caps/>
      <w:kern w:val="28"/>
      <w:u w:val="single"/>
    </w:rPr>
  </w:style>
  <w:style w:type="paragraph" w:styleId="Heading2">
    <w:name w:val="heading 2"/>
    <w:basedOn w:val="Normal"/>
    <w:next w:val="Normal"/>
    <w:qFormat/>
    <w:pPr>
      <w:keepNext/>
      <w:tabs>
        <w:tab w:val="left" w:pos="709"/>
      </w:tabs>
      <w:spacing w:before="120"/>
      <w:jc w:val="both"/>
      <w:outlineLvl w:val="1"/>
    </w:pPr>
    <w:rPr>
      <w:b/>
    </w:rPr>
  </w:style>
  <w:style w:type="paragraph" w:styleId="Heading3">
    <w:name w:val="heading 3"/>
    <w:basedOn w:val="Normal"/>
    <w:next w:val="Normal"/>
    <w:qFormat/>
    <w:pPr>
      <w:keepNext/>
      <w:tabs>
        <w:tab w:val="left" w:pos="709"/>
      </w:tabs>
      <w:spacing w:before="120"/>
      <w:jc w:val="both"/>
      <w:outlineLvl w:val="2"/>
    </w:pPr>
    <w:rPr>
      <w:i/>
    </w:rPr>
  </w:style>
  <w:style w:type="paragraph" w:styleId="Heading4">
    <w:name w:val="heading 4"/>
    <w:basedOn w:val="Normal"/>
    <w:next w:val="Normal"/>
    <w:qFormat/>
    <w:pPr>
      <w:keepNext/>
      <w:numPr>
        <w:numId w:val="1"/>
      </w:numPr>
      <w:tabs>
        <w:tab w:val="clear" w:pos="720"/>
        <w:tab w:val="left" w:pos="1418"/>
      </w:tabs>
      <w:jc w:val="both"/>
      <w:outlineLvl w:val="3"/>
    </w:pPr>
    <w:rPr>
      <w:u w:val="single"/>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righ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jc w:val="both"/>
    </w:pPr>
    <w:rPr>
      <w:sz w:val="20"/>
    </w:rPr>
  </w:style>
  <w:style w:type="character" w:styleId="FootnoteReference">
    <w:name w:val="footnote reference"/>
    <w:semiHidden/>
    <w:rPr>
      <w:vertAlign w:val="superscript"/>
    </w:rPr>
  </w:style>
  <w:style w:type="paragraph" w:customStyle="1" w:styleId="TGLevel1">
    <w:name w:val="TG/Level1"/>
    <w:basedOn w:val="Normal"/>
    <w:pPr>
      <w:numPr>
        <w:numId w:val="2"/>
      </w:numPr>
      <w:tabs>
        <w:tab w:val="left" w:pos="709"/>
      </w:tabs>
      <w:spacing w:before="120" w:after="240"/>
      <w:ind w:left="709" w:hanging="709"/>
      <w:jc w:val="both"/>
      <w:outlineLvl w:val="0"/>
    </w:pPr>
  </w:style>
  <w:style w:type="paragraph" w:customStyle="1" w:styleId="TGLevel2">
    <w:name w:val="TG/Level2"/>
    <w:basedOn w:val="Normal"/>
    <w:pPr>
      <w:numPr>
        <w:ilvl w:val="1"/>
        <w:numId w:val="3"/>
      </w:numPr>
      <w:spacing w:after="240"/>
      <w:jc w:val="both"/>
      <w:outlineLvl w:val="1"/>
    </w:pPr>
  </w:style>
  <w:style w:type="paragraph" w:customStyle="1" w:styleId="TGLevel3">
    <w:name w:val="TG/Level3"/>
    <w:basedOn w:val="Normal"/>
    <w:pPr>
      <w:numPr>
        <w:ilvl w:val="2"/>
        <w:numId w:val="4"/>
      </w:numPr>
      <w:tabs>
        <w:tab w:val="left" w:pos="2126"/>
      </w:tabs>
      <w:spacing w:after="120"/>
      <w:ind w:left="2127" w:hanging="709"/>
      <w:jc w:val="both"/>
      <w:outlineLvl w:val="2"/>
    </w:pPr>
  </w:style>
  <w:style w:type="paragraph" w:customStyle="1" w:styleId="TGLevel4">
    <w:name w:val="TG/Level4"/>
    <w:basedOn w:val="Normal"/>
    <w:pPr>
      <w:numPr>
        <w:ilvl w:val="3"/>
        <w:numId w:val="5"/>
      </w:numPr>
      <w:tabs>
        <w:tab w:val="left" w:pos="2126"/>
        <w:tab w:val="left" w:pos="2835"/>
      </w:tabs>
      <w:spacing w:after="240"/>
      <w:ind w:left="2835" w:hanging="567"/>
      <w:jc w:val="both"/>
      <w:outlineLvl w:val="3"/>
    </w:pPr>
  </w:style>
  <w:style w:type="paragraph" w:customStyle="1" w:styleId="TGLevel5">
    <w:name w:val="TG/Level5"/>
    <w:basedOn w:val="Normal"/>
    <w:pPr>
      <w:numPr>
        <w:ilvl w:val="4"/>
        <w:numId w:val="6"/>
      </w:numPr>
      <w:tabs>
        <w:tab w:val="left" w:pos="1985"/>
      </w:tabs>
      <w:spacing w:after="240"/>
      <w:jc w:val="both"/>
      <w:outlineLvl w:val="4"/>
    </w:pPr>
  </w:style>
  <w:style w:type="paragraph" w:customStyle="1" w:styleId="TGLevel6">
    <w:name w:val="TG/Level6"/>
    <w:basedOn w:val="Normal"/>
    <w:pPr>
      <w:numPr>
        <w:ilvl w:val="5"/>
        <w:numId w:val="7"/>
      </w:numPr>
      <w:spacing w:after="240"/>
      <w:jc w:val="both"/>
      <w:outlineLvl w:val="5"/>
    </w:pPr>
  </w:style>
  <w:style w:type="paragraph" w:styleId="TOC1">
    <w:name w:val="toc 1"/>
    <w:basedOn w:val="Normal"/>
    <w:next w:val="Normal"/>
    <w:autoRedefine/>
    <w:semiHidden/>
    <w:pPr>
      <w:spacing w:before="120" w:after="120"/>
    </w:pPr>
    <w:rPr>
      <w:b/>
      <w:caps/>
      <w:sz w:val="20"/>
    </w:rPr>
  </w:style>
  <w:style w:type="paragraph" w:styleId="TOC2">
    <w:name w:val="toc 2"/>
    <w:basedOn w:val="Normal"/>
    <w:next w:val="Normal"/>
    <w:autoRedefine/>
    <w:semiHidden/>
    <w:pPr>
      <w:ind w:left="240"/>
    </w:pPr>
    <w:rPr>
      <w:smallCaps/>
      <w:sz w:val="20"/>
    </w:rPr>
  </w:style>
  <w:style w:type="paragraph" w:styleId="TOC3">
    <w:name w:val="toc 3"/>
    <w:basedOn w:val="Normal"/>
    <w:next w:val="Normal"/>
    <w:autoRedefine/>
    <w:semiHidden/>
    <w:pPr>
      <w:ind w:left="480"/>
    </w:pPr>
    <w:rPr>
      <w:i/>
      <w:sz w:val="20"/>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customStyle="1" w:styleId="EmailStyle32">
    <w:name w:val="EmailStyle32"/>
    <w:semiHidden/>
    <w:rsid w:val="00F7751B"/>
    <w:rPr>
      <w:rFonts w:ascii="Arial" w:hAnsi="Arial" w:cs="Arial"/>
      <w:color w:val="auto"/>
      <w:sz w:val="20"/>
      <w:szCs w:val="20"/>
    </w:rPr>
  </w:style>
  <w:style w:type="character" w:styleId="Hyperlink">
    <w:name w:val="Hyperlink"/>
    <w:rsid w:val="00F7751B"/>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Style3">
    <w:name w:val="Style3"/>
    <w:basedOn w:val="Normal"/>
    <w:uiPriority w:val="99"/>
    <w:rsid w:val="001F0506"/>
    <w:pPr>
      <w:widowControl w:val="0"/>
      <w:autoSpaceDE w:val="0"/>
      <w:autoSpaceDN w:val="0"/>
      <w:adjustRightInd w:val="0"/>
      <w:spacing w:line="370" w:lineRule="exact"/>
      <w:jc w:val="both"/>
    </w:pPr>
    <w:rPr>
      <w:rFonts w:ascii="Angsana New" w:eastAsiaTheme="minorEastAsia" w:hAnsi="Angsana New"/>
    </w:rPr>
  </w:style>
  <w:style w:type="paragraph" w:customStyle="1" w:styleId="Style4">
    <w:name w:val="Style4"/>
    <w:basedOn w:val="Normal"/>
    <w:uiPriority w:val="99"/>
    <w:rsid w:val="001F0506"/>
    <w:pPr>
      <w:widowControl w:val="0"/>
      <w:autoSpaceDE w:val="0"/>
      <w:autoSpaceDN w:val="0"/>
      <w:adjustRightInd w:val="0"/>
    </w:pPr>
    <w:rPr>
      <w:rFonts w:ascii="Angsana New" w:eastAsiaTheme="minorEastAsia" w:hAnsi="Angsana New"/>
    </w:rPr>
  </w:style>
  <w:style w:type="character" w:customStyle="1" w:styleId="FontStyle12">
    <w:name w:val="Font Style12"/>
    <w:basedOn w:val="DefaultParagraphFont"/>
    <w:uiPriority w:val="99"/>
    <w:rsid w:val="001F0506"/>
    <w:rPr>
      <w:rFonts w:ascii="Angsana New" w:hAnsi="Angsana New" w:cs="Angsana New"/>
      <w:sz w:val="30"/>
      <w:szCs w:val="30"/>
    </w:rPr>
  </w:style>
  <w:style w:type="paragraph" w:customStyle="1" w:styleId="Style8">
    <w:name w:val="Style8"/>
    <w:basedOn w:val="Normal"/>
    <w:uiPriority w:val="99"/>
    <w:rsid w:val="0090230A"/>
    <w:pPr>
      <w:widowControl w:val="0"/>
      <w:autoSpaceDE w:val="0"/>
      <w:autoSpaceDN w:val="0"/>
      <w:adjustRightInd w:val="0"/>
      <w:spacing w:line="252" w:lineRule="exact"/>
      <w:ind w:hanging="624"/>
    </w:pPr>
    <w:rPr>
      <w:rFonts w:ascii="Arial" w:eastAsiaTheme="minorEastAsia" w:hAnsi="Arial" w:cs="Arial"/>
    </w:rPr>
  </w:style>
  <w:style w:type="character" w:customStyle="1" w:styleId="FontStyle14">
    <w:name w:val="Font Style14"/>
    <w:basedOn w:val="DefaultParagraphFont"/>
    <w:uiPriority w:val="99"/>
    <w:rsid w:val="0090230A"/>
    <w:rPr>
      <w:rFonts w:ascii="Arial" w:hAnsi="Arial" w:cs="Arial"/>
      <w:sz w:val="18"/>
      <w:szCs w:val="18"/>
    </w:rPr>
  </w:style>
  <w:style w:type="paragraph" w:customStyle="1" w:styleId="Style9">
    <w:name w:val="Style9"/>
    <w:basedOn w:val="Normal"/>
    <w:uiPriority w:val="99"/>
    <w:rsid w:val="0090230A"/>
    <w:pPr>
      <w:widowControl w:val="0"/>
      <w:autoSpaceDE w:val="0"/>
      <w:autoSpaceDN w:val="0"/>
      <w:adjustRightInd w:val="0"/>
      <w:spacing w:line="259" w:lineRule="exact"/>
      <w:ind w:hanging="466"/>
    </w:pPr>
    <w:rPr>
      <w:rFonts w:ascii="Arial" w:eastAsiaTheme="minorEastAsia" w:hAnsi="Arial" w:cs="Arial"/>
    </w:rPr>
  </w:style>
  <w:style w:type="paragraph" w:customStyle="1" w:styleId="Style10">
    <w:name w:val="Style10"/>
    <w:basedOn w:val="Normal"/>
    <w:uiPriority w:val="99"/>
    <w:rsid w:val="0090230A"/>
    <w:pPr>
      <w:widowControl w:val="0"/>
      <w:autoSpaceDE w:val="0"/>
      <w:autoSpaceDN w:val="0"/>
      <w:adjustRightInd w:val="0"/>
      <w:spacing w:line="269" w:lineRule="exact"/>
      <w:ind w:hanging="648"/>
    </w:pPr>
    <w:rPr>
      <w:rFonts w:ascii="Arial" w:eastAsiaTheme="minorEastAsia" w:hAnsi="Arial" w:cs="Arial"/>
    </w:rPr>
  </w:style>
  <w:style w:type="character" w:customStyle="1" w:styleId="FontStyle13">
    <w:name w:val="Font Style13"/>
    <w:basedOn w:val="DefaultParagraphFont"/>
    <w:uiPriority w:val="99"/>
    <w:rsid w:val="0090230A"/>
    <w:rPr>
      <w:rFonts w:ascii="Arial" w:hAnsi="Arial" w:cs="Arial"/>
      <w:b/>
      <w:bCs/>
      <w:sz w:val="18"/>
      <w:szCs w:val="18"/>
    </w:rPr>
  </w:style>
  <w:style w:type="character" w:customStyle="1" w:styleId="FontStyle18">
    <w:name w:val="Font Style18"/>
    <w:basedOn w:val="DefaultParagraphFont"/>
    <w:uiPriority w:val="99"/>
    <w:rsid w:val="00A768E4"/>
    <w:rPr>
      <w:rFonts w:ascii="Times New Roman" w:hAnsi="Times New Roman" w:cs="Times New Roman"/>
      <w:i/>
      <w:iCs/>
      <w:sz w:val="18"/>
      <w:szCs w:val="18"/>
    </w:rPr>
  </w:style>
  <w:style w:type="paragraph" w:customStyle="1" w:styleId="Style7">
    <w:name w:val="Style7"/>
    <w:basedOn w:val="Normal"/>
    <w:uiPriority w:val="99"/>
    <w:rsid w:val="00A768E4"/>
    <w:pPr>
      <w:widowControl w:val="0"/>
      <w:autoSpaceDE w:val="0"/>
      <w:autoSpaceDN w:val="0"/>
      <w:adjustRightInd w:val="0"/>
      <w:spacing w:line="253" w:lineRule="exact"/>
      <w:jc w:val="both"/>
    </w:pPr>
    <w:rPr>
      <w:rFonts w:eastAsiaTheme="minorEastAsia"/>
    </w:rPr>
  </w:style>
  <w:style w:type="character" w:customStyle="1" w:styleId="FontStyle16">
    <w:name w:val="Font Style16"/>
    <w:basedOn w:val="DefaultParagraphFont"/>
    <w:uiPriority w:val="99"/>
    <w:rsid w:val="00A768E4"/>
    <w:rPr>
      <w:rFonts w:ascii="Cordia New" w:hAnsi="Cordia New" w:cs="Cordia New"/>
      <w:b/>
      <w:bCs/>
      <w:i/>
      <w:iCs/>
      <w:sz w:val="26"/>
      <w:szCs w:val="26"/>
    </w:rPr>
  </w:style>
  <w:style w:type="character" w:customStyle="1" w:styleId="FontStyle19">
    <w:name w:val="Font Style19"/>
    <w:basedOn w:val="DefaultParagraphFont"/>
    <w:uiPriority w:val="99"/>
    <w:rsid w:val="00A768E4"/>
    <w:rPr>
      <w:rFonts w:ascii="Cordia New" w:hAnsi="Cordia New" w:cs="Cordia New"/>
      <w:b/>
      <w:bCs/>
      <w:i/>
      <w:iCs/>
      <w:sz w:val="28"/>
      <w:szCs w:val="28"/>
    </w:rPr>
  </w:style>
  <w:style w:type="paragraph" w:styleId="BalloonText">
    <w:name w:val="Balloon Text"/>
    <w:basedOn w:val="Normal"/>
    <w:link w:val="BalloonTextChar"/>
    <w:rsid w:val="00C708DC"/>
    <w:rPr>
      <w:rFonts w:ascii="Segoe UI" w:hAnsi="Segoe UI" w:cs="Segoe UI"/>
      <w:sz w:val="18"/>
      <w:szCs w:val="18"/>
    </w:rPr>
  </w:style>
  <w:style w:type="character" w:customStyle="1" w:styleId="BalloonTextChar">
    <w:name w:val="Balloon Text Char"/>
    <w:basedOn w:val="DefaultParagraphFont"/>
    <w:link w:val="BalloonText"/>
    <w:rsid w:val="00C708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ejudiciary%20Waksman\OneDrive%20-%20eJudiciary\H_drive\Documents\Templates\Draft%20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8D411-8007-44C5-B886-4980F1E3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Judgment</Template>
  <TotalTime>0</TotalTime>
  <Pages>1</Pages>
  <Words>15471</Words>
  <Characters>88191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This is a draft of the judgment to be handed down on [] 2008 at [] a</vt:lpstr>
    </vt:vector>
  </TitlesOfParts>
  <Company>.</Company>
  <LinksUpToDate>false</LinksUpToDate>
  <CharactersWithSpaces>103456</CharactersWithSpaces>
  <SharedDoc>false</SharedDoc>
  <HLinks>
    <vt:vector size="12" baseType="variant">
      <vt:variant>
        <vt:i4>2883676</vt:i4>
      </vt:variant>
      <vt:variant>
        <vt:i4>3</vt:i4>
      </vt:variant>
      <vt:variant>
        <vt:i4>0</vt:i4>
      </vt:variant>
      <vt:variant>
        <vt:i4>5</vt:i4>
      </vt:variant>
      <vt:variant>
        <vt:lpwstr>mailto:adam.wilcox@hmcts.gsi.gov.uk</vt:lpwstr>
      </vt:variant>
      <vt:variant>
        <vt:lpwstr/>
      </vt:variant>
      <vt:variant>
        <vt:i4>1769584</vt:i4>
      </vt:variant>
      <vt:variant>
        <vt:i4>0</vt:i4>
      </vt:variant>
      <vt:variant>
        <vt:i4>0</vt:i4>
      </vt:variant>
      <vt:variant>
        <vt:i4>5</vt:i4>
      </vt:variant>
      <vt:variant>
        <vt:lpwstr>mailto:comct.listing@hmcts.gsi.gov.uk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draft of the judgment to be handed down on [] 2008 at [] a</dc:title>
  <dc:subject/>
  <dc:creator>User</dc:creator>
  <cp:keywords/>
  <cp:lastModifiedBy>Eileen</cp:lastModifiedBy>
  <cp:revision>2</cp:revision>
  <cp:lastPrinted>2018-12-06T08:37:00Z</cp:lastPrinted>
  <dcterms:created xsi:type="dcterms:W3CDTF">2018-12-12T13:14:00Z</dcterms:created>
  <dcterms:modified xsi:type="dcterms:W3CDTF">2018-12-12T13:14:00Z</dcterms:modified>
</cp:coreProperties>
</file>