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1" w:rsidRPr="00C763D8" w:rsidRDefault="0053460B">
      <w:pPr>
        <w:pStyle w:val="Kopf"/>
        <w:rPr>
          <w:lang w:val="en-GB"/>
        </w:rPr>
      </w:pPr>
      <w:r w:rsidRPr="00C763D8">
        <w:rPr>
          <w:lang w:val="en-GB"/>
        </w:rPr>
        <w:t xml:space="preserve"> </w:t>
      </w: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D8203B" w:rsidRPr="0010549B" w:rsidRDefault="00C8763F" w:rsidP="00C8763F">
      <w:pPr>
        <w:pStyle w:val="Beilagen"/>
        <w:spacing w:line="480" w:lineRule="auto"/>
        <w:rPr>
          <w:rFonts w:ascii="Arial Narrow" w:hAnsi="Arial Narrow"/>
          <w:b/>
          <w:bCs/>
          <w:color w:val="C0C0C0"/>
          <w:sz w:val="80"/>
          <w:szCs w:val="80"/>
          <w:lang w:val="en-US"/>
        </w:rPr>
      </w:pPr>
      <w:r w:rsidRPr="0010549B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>Press</w:t>
      </w:r>
      <w:r w:rsidR="001809DD" w:rsidRPr="0010549B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 xml:space="preserve"> release</w:t>
      </w:r>
    </w:p>
    <w:p w:rsidR="00C8763F" w:rsidRPr="0010549B" w:rsidRDefault="001809DD" w:rsidP="0010188B">
      <w:pPr>
        <w:rPr>
          <w:rFonts w:ascii="Arial" w:hAnsi="Arial" w:cs="Arial"/>
          <w:noProof/>
          <w:sz w:val="20"/>
          <w:lang w:val="en-US"/>
        </w:rPr>
      </w:pPr>
      <w:r w:rsidRPr="0010549B">
        <w:rPr>
          <w:rFonts w:ascii="Arial" w:hAnsi="Arial" w:cs="Arial"/>
          <w:noProof/>
          <w:sz w:val="20"/>
          <w:lang w:val="en-US"/>
        </w:rPr>
        <w:t>Vienna</w:t>
      </w:r>
      <w:r w:rsidR="0010188B" w:rsidRPr="0010549B">
        <w:rPr>
          <w:rFonts w:ascii="Arial" w:hAnsi="Arial" w:cs="Arial"/>
          <w:noProof/>
          <w:sz w:val="20"/>
          <w:lang w:val="en-US"/>
        </w:rPr>
        <w:t xml:space="preserve">, </w:t>
      </w:r>
      <w:r w:rsidR="0010549B">
        <w:rPr>
          <w:rFonts w:ascii="Arial" w:hAnsi="Arial" w:cs="Arial"/>
          <w:noProof/>
          <w:sz w:val="20"/>
          <w:lang w:val="en-US"/>
        </w:rPr>
        <w:t>28. November 2011</w:t>
      </w:r>
      <w:bookmarkStart w:id="0" w:name="_GoBack"/>
      <w:bookmarkEnd w:id="0"/>
    </w:p>
    <w:p w:rsidR="00C8763F" w:rsidRPr="0010549B" w:rsidRDefault="00C8763F" w:rsidP="00C8763F">
      <w:pPr>
        <w:rPr>
          <w:rFonts w:ascii="Arial" w:hAnsi="Arial" w:cs="Arial"/>
          <w:noProof/>
          <w:sz w:val="20"/>
          <w:lang w:val="en-US"/>
        </w:rPr>
      </w:pPr>
    </w:p>
    <w:p w:rsidR="0010549B" w:rsidRPr="0010549B" w:rsidRDefault="0010549B" w:rsidP="0010549B">
      <w:pPr>
        <w:pStyle w:val="CMSIndent2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10549B">
        <w:rPr>
          <w:rFonts w:ascii="Arial" w:hAnsi="Arial" w:cs="Arial"/>
          <w:b/>
          <w:bCs/>
          <w:noProof/>
          <w:sz w:val="20"/>
          <w:szCs w:val="20"/>
          <w:lang w:val="en-GB"/>
        </w:rPr>
        <w:t>CMS Real Estate Deal Point Study 2011:</w:t>
      </w:r>
      <w:r w:rsidRPr="0010549B">
        <w:rPr>
          <w:rFonts w:ascii="Arial" w:hAnsi="Arial" w:cs="Arial"/>
          <w:sz w:val="20"/>
          <w:szCs w:val="20"/>
          <w:lang w:val="en-GB"/>
        </w:rPr>
        <w:t xml:space="preserve"> </w:t>
      </w:r>
      <w:r w:rsidRPr="0010549B">
        <w:rPr>
          <w:rFonts w:ascii="Arial" w:hAnsi="Arial" w:cs="Arial"/>
          <w:b/>
          <w:bCs/>
          <w:noProof/>
          <w:sz w:val="20"/>
          <w:szCs w:val="20"/>
          <w:lang w:val="en-GB"/>
        </w:rPr>
        <w:t>Market recovery in real estate transactions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</w:p>
    <w:p w:rsidR="0010549B" w:rsidRPr="0010549B" w:rsidRDefault="0010549B" w:rsidP="0010549B">
      <w:pPr>
        <w:rPr>
          <w:rFonts w:ascii="Arial" w:hAnsi="Arial" w:cs="Arial"/>
          <w:noProof/>
          <w:sz w:val="20"/>
          <w:lang w:val="en-GB"/>
        </w:rPr>
      </w:pPr>
      <w:r w:rsidRPr="0010549B">
        <w:rPr>
          <w:rFonts w:ascii="Arial" w:hAnsi="Arial" w:cs="Arial"/>
          <w:noProof/>
          <w:sz w:val="20"/>
          <w:lang w:val="en-GB"/>
        </w:rPr>
        <w:t>Stuttgart / Vienna – The market for property transactions recovered over the course of 2010, with both the number of transactions and transaction volumes increasing significantly.</w:t>
      </w:r>
      <w:r w:rsidRPr="0010549B">
        <w:rPr>
          <w:rFonts w:ascii="Arial" w:hAnsi="Arial" w:cs="Arial"/>
          <w:sz w:val="20"/>
          <w:lang w:val="en-GB"/>
        </w:rPr>
        <w:t xml:space="preserve"> </w:t>
      </w:r>
      <w:r w:rsidRPr="0010549B">
        <w:rPr>
          <w:rFonts w:ascii="Arial" w:hAnsi="Arial" w:cs="Arial"/>
          <w:noProof/>
          <w:sz w:val="20"/>
          <w:lang w:val="en-GB"/>
        </w:rPr>
        <w:t>Deal terms likewise reflect the improved market conditions.</w:t>
      </w:r>
      <w:r w:rsidRPr="0010549B">
        <w:rPr>
          <w:rFonts w:ascii="Arial" w:hAnsi="Arial" w:cs="Arial"/>
          <w:sz w:val="20"/>
          <w:lang w:val="en-GB"/>
        </w:rPr>
        <w:t xml:space="preserve"> </w:t>
      </w:r>
      <w:r w:rsidRPr="0010549B">
        <w:rPr>
          <w:rFonts w:ascii="Arial" w:hAnsi="Arial" w:cs="Arial"/>
          <w:noProof/>
          <w:sz w:val="20"/>
          <w:lang w:val="en-GB"/>
        </w:rPr>
        <w:t>Those are</w:t>
      </w:r>
      <w:r w:rsidRPr="0010549B">
        <w:rPr>
          <w:rFonts w:ascii="Arial" w:hAnsi="Arial" w:cs="Arial"/>
          <w:sz w:val="20"/>
          <w:lang w:val="en-GB"/>
        </w:rPr>
        <w:t xml:space="preserve"> </w:t>
      </w:r>
      <w:r w:rsidRPr="0010549B">
        <w:rPr>
          <w:rFonts w:ascii="Arial" w:hAnsi="Arial" w:cs="Arial"/>
          <w:noProof/>
          <w:sz w:val="20"/>
          <w:lang w:val="en-GB"/>
        </w:rPr>
        <w:t>the findings of the Real Estate Deal Point Study 2011.</w:t>
      </w:r>
    </w:p>
    <w:p w:rsidR="0010549B" w:rsidRPr="0010549B" w:rsidRDefault="0010549B" w:rsidP="0010549B">
      <w:pPr>
        <w:rPr>
          <w:rFonts w:ascii="Arial" w:hAnsi="Arial" w:cs="Arial"/>
          <w:noProof/>
          <w:sz w:val="20"/>
          <w:lang w:val="en-GB"/>
        </w:rPr>
      </w:pP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sz w:val="20"/>
          <w:lang w:val="en-GB"/>
        </w:rPr>
        <w:t>It evaluated 245 deals concluded in Germany, Austria, Poland, Croatia and Bulgaria between the begi</w:t>
      </w:r>
      <w:r w:rsidRPr="0010549B">
        <w:rPr>
          <w:rFonts w:ascii="Arial" w:hAnsi="Arial" w:cs="Arial"/>
          <w:sz w:val="20"/>
          <w:lang w:val="en-GB"/>
        </w:rPr>
        <w:t>n</w:t>
      </w:r>
      <w:r w:rsidRPr="0010549B">
        <w:rPr>
          <w:rFonts w:ascii="Arial" w:hAnsi="Arial" w:cs="Arial"/>
          <w:sz w:val="20"/>
          <w:lang w:val="en-GB"/>
        </w:rPr>
        <w:t xml:space="preserve">ning of 2007 and mid-2011 in which CMS advised sellers, buyers or financing partners. 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sz w:val="20"/>
          <w:lang w:val="en-GB"/>
        </w:rPr>
        <w:t xml:space="preserve">"The study documents the behaviour of strategic buyers and sellers, private equity investors and private investors with regard to the inclusion of specific contractual conditions," says </w:t>
      </w:r>
      <w:proofErr w:type="spellStart"/>
      <w:r w:rsidRPr="0010549B">
        <w:rPr>
          <w:rFonts w:ascii="Arial" w:hAnsi="Arial" w:cs="Arial"/>
          <w:sz w:val="20"/>
          <w:lang w:val="en-GB"/>
        </w:rPr>
        <w:t>Dr.</w:t>
      </w:r>
      <w:proofErr w:type="spellEnd"/>
      <w:r w:rsidRPr="0010549B">
        <w:rPr>
          <w:rFonts w:ascii="Arial" w:hAnsi="Arial" w:cs="Arial"/>
          <w:sz w:val="20"/>
          <w:lang w:val="en-GB"/>
        </w:rPr>
        <w:t xml:space="preserve"> Gregor Famira, partner and head of the Real Estate CEE division at CMS Reich-Rohrwig Hainz in Vienna. </w:t>
      </w:r>
      <w:r w:rsidRPr="0010549B">
        <w:rPr>
          <w:rFonts w:ascii="Arial" w:hAnsi="Arial" w:cs="Arial"/>
          <w:noProof/>
          <w:sz w:val="20"/>
          <w:lang w:val="en-GB"/>
        </w:rPr>
        <w:t>"The findings give all parties to a transaction specific points of reference for negotiations and drawing up contracts."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</w:p>
    <w:p w:rsidR="0010549B" w:rsidRPr="0010549B" w:rsidRDefault="0010549B" w:rsidP="0010549B">
      <w:pPr>
        <w:rPr>
          <w:rFonts w:ascii="Arial" w:hAnsi="Arial" w:cs="Arial"/>
          <w:b/>
          <w:bCs/>
          <w:sz w:val="20"/>
          <w:lang w:val="en-GB"/>
        </w:rPr>
      </w:pPr>
      <w:r w:rsidRPr="0010549B">
        <w:rPr>
          <w:rFonts w:ascii="Arial" w:hAnsi="Arial" w:cs="Arial"/>
          <w:b/>
          <w:bCs/>
          <w:sz w:val="20"/>
          <w:lang w:val="en-GB"/>
        </w:rPr>
        <w:t>Increase in Transaction Volumes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noProof/>
          <w:sz w:val="20"/>
          <w:lang w:val="en-GB"/>
        </w:rPr>
        <w:t>The transaction analysis for 2010 shows a sharp increase in the volume of agreements following substantial falls in previous years.</w:t>
      </w:r>
      <w:r w:rsidRPr="0010549B">
        <w:rPr>
          <w:rFonts w:ascii="Arial" w:hAnsi="Arial" w:cs="Arial"/>
          <w:sz w:val="20"/>
          <w:lang w:val="en-GB"/>
        </w:rPr>
        <w:t xml:space="preserve"> </w:t>
      </w:r>
      <w:r w:rsidRPr="0010549B">
        <w:rPr>
          <w:rFonts w:ascii="Arial" w:hAnsi="Arial" w:cs="Arial"/>
          <w:noProof/>
          <w:sz w:val="20"/>
          <w:lang w:val="en-GB"/>
        </w:rPr>
        <w:t>The proportion of transactions worth in excess of EUR 50 million was 60% in the first half of 2010, more than four times greater than the 14% recorded in the previous six months.</w:t>
      </w:r>
      <w:r w:rsidRPr="0010549B">
        <w:rPr>
          <w:rFonts w:ascii="Arial" w:hAnsi="Arial" w:cs="Arial"/>
          <w:sz w:val="20"/>
          <w:lang w:val="en-GB"/>
        </w:rPr>
        <w:t xml:space="preserve"> </w:t>
      </w:r>
      <w:r w:rsidRPr="0010549B">
        <w:rPr>
          <w:rFonts w:ascii="Arial" w:hAnsi="Arial" w:cs="Arial"/>
          <w:noProof/>
          <w:sz w:val="20"/>
          <w:lang w:val="en-GB"/>
        </w:rPr>
        <w:t>Although the proportion of transactions worth over EUR 50 million has declined in the meantime (falling to 38% in the second half of 2010 and 24% in the first half of 2011), the proportion of transactions worth between EUR 25 and 50 million has increased by some 20%.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</w:p>
    <w:p w:rsidR="0010549B" w:rsidRPr="0010549B" w:rsidRDefault="0010549B" w:rsidP="0010549B">
      <w:pPr>
        <w:pStyle w:val="CMSIndent2"/>
        <w:spacing w:before="0" w:after="0" w:line="240" w:lineRule="auto"/>
        <w:ind w:left="0"/>
        <w:rPr>
          <w:rFonts w:ascii="Arial" w:hAnsi="Arial" w:cs="Arial"/>
          <w:b/>
          <w:bCs/>
          <w:noProof/>
          <w:sz w:val="20"/>
          <w:szCs w:val="20"/>
          <w:lang w:val="en-GB"/>
        </w:rPr>
      </w:pPr>
      <w:r w:rsidRPr="0010549B">
        <w:rPr>
          <w:rFonts w:ascii="Arial" w:hAnsi="Arial" w:cs="Arial"/>
          <w:b/>
          <w:bCs/>
          <w:sz w:val="20"/>
          <w:szCs w:val="20"/>
          <w:lang w:val="en-GB"/>
        </w:rPr>
        <w:t>Portfolio Transactions and Share of Retail Transactions Up</w:t>
      </w:r>
    </w:p>
    <w:p w:rsidR="0010549B" w:rsidRPr="0010549B" w:rsidRDefault="0010549B" w:rsidP="0010549B">
      <w:pPr>
        <w:pStyle w:val="CMSIndent2"/>
        <w:spacing w:before="0" w:after="0" w:line="24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noProof/>
          <w:sz w:val="20"/>
          <w:szCs w:val="20"/>
          <w:lang w:val="en-GB"/>
        </w:rPr>
        <w:t>Compared with the start of 2008, the proportion of portfolio transactions has risen</w:t>
      </w:r>
    </w:p>
    <w:p w:rsidR="0010549B" w:rsidRPr="0010549B" w:rsidRDefault="0010549B" w:rsidP="0010549B">
      <w:pPr>
        <w:pStyle w:val="CMSIndent2"/>
        <w:spacing w:before="0" w:after="0" w:line="24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noProof/>
          <w:sz w:val="20"/>
          <w:szCs w:val="20"/>
          <w:lang w:val="en-GB"/>
        </w:rPr>
        <w:t>sharply from 13% in 2008 to 46% in 2010. In the first half of 2011, this category</w:t>
      </w:r>
    </w:p>
    <w:p w:rsidR="0010549B" w:rsidRPr="0010549B" w:rsidRDefault="0010549B" w:rsidP="0010549B">
      <w:pPr>
        <w:pStyle w:val="CMSIndent2"/>
        <w:spacing w:before="0" w:after="0" w:line="24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noProof/>
          <w:sz w:val="20"/>
          <w:szCs w:val="20"/>
          <w:lang w:val="en-GB"/>
        </w:rPr>
        <w:t>accounted for 27% of transactions.</w:t>
      </w:r>
    </w:p>
    <w:p w:rsidR="0010549B" w:rsidRPr="0010549B" w:rsidRDefault="0010549B" w:rsidP="0010549B">
      <w:pPr>
        <w:pStyle w:val="CMSDash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noProof/>
          <w:sz w:val="20"/>
          <w:szCs w:val="20"/>
          <w:lang w:val="en-GB"/>
        </w:rPr>
        <w:t>During the same period, the proportion of retail transactions more than doubled (from 21% in 2008 to 43% in the first half of 2011), while the proportion of office</w:t>
      </w:r>
    </w:p>
    <w:p w:rsidR="0010549B" w:rsidRPr="0010549B" w:rsidRDefault="0010549B" w:rsidP="0010549B">
      <w:pPr>
        <w:pStyle w:val="CMSDash"/>
        <w:numPr>
          <w:ilvl w:val="0"/>
          <w:numId w:val="0"/>
        </w:numPr>
        <w:tabs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noProof/>
          <w:sz w:val="20"/>
          <w:szCs w:val="20"/>
          <w:lang w:val="en-GB"/>
        </w:rPr>
        <w:t>transactions remained roughly the same (37% in 2008 and 39% in the first half of</w:t>
      </w:r>
    </w:p>
    <w:p w:rsidR="0010549B" w:rsidRPr="0010549B" w:rsidRDefault="0010549B" w:rsidP="0010549B">
      <w:pPr>
        <w:pStyle w:val="CMSDash"/>
        <w:numPr>
          <w:ilvl w:val="0"/>
          <w:numId w:val="0"/>
        </w:numPr>
        <w:tabs>
          <w:tab w:val="left" w:pos="708"/>
        </w:tabs>
        <w:adjustRightInd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sz w:val="20"/>
          <w:szCs w:val="20"/>
          <w:lang w:val="en-GB"/>
        </w:rPr>
        <w:t>2011).</w:t>
      </w:r>
    </w:p>
    <w:p w:rsidR="0010549B" w:rsidRPr="0010549B" w:rsidRDefault="0010549B" w:rsidP="0010549B">
      <w:pPr>
        <w:pStyle w:val="CMSDash"/>
        <w:numPr>
          <w:ilvl w:val="0"/>
          <w:numId w:val="0"/>
        </w:numPr>
        <w:tabs>
          <w:tab w:val="left" w:pos="708"/>
        </w:tabs>
        <w:adjustRightInd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10549B" w:rsidRPr="0010549B" w:rsidRDefault="0010549B" w:rsidP="0010549B">
      <w:pPr>
        <w:pStyle w:val="CMSIndent2"/>
        <w:spacing w:before="0" w:after="0" w:line="240" w:lineRule="auto"/>
        <w:ind w:left="0"/>
        <w:rPr>
          <w:rFonts w:ascii="Arial" w:hAnsi="Arial" w:cs="Arial"/>
          <w:b/>
          <w:bCs/>
          <w:sz w:val="20"/>
          <w:szCs w:val="20"/>
          <w:lang w:val="en-GB"/>
        </w:rPr>
      </w:pPr>
      <w:r w:rsidRPr="0010549B">
        <w:rPr>
          <w:rFonts w:ascii="Arial" w:hAnsi="Arial" w:cs="Arial"/>
          <w:b/>
          <w:bCs/>
          <w:sz w:val="20"/>
          <w:szCs w:val="20"/>
          <w:lang w:val="en-GB"/>
        </w:rPr>
        <w:t>Seller’s Market Trend Continues</w:t>
      </w:r>
    </w:p>
    <w:p w:rsidR="0010549B" w:rsidRPr="0010549B" w:rsidRDefault="0010549B" w:rsidP="0010549B">
      <w:pPr>
        <w:pStyle w:val="CMSIndent2"/>
        <w:spacing w:before="0" w:after="0" w:line="24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noProof/>
          <w:sz w:val="20"/>
          <w:szCs w:val="20"/>
          <w:lang w:val="en-GB"/>
        </w:rPr>
        <w:t>Gregor Famira:</w:t>
      </w:r>
      <w:r w:rsidRPr="0010549B">
        <w:rPr>
          <w:rFonts w:ascii="Arial" w:hAnsi="Arial" w:cs="Arial"/>
          <w:sz w:val="20"/>
          <w:szCs w:val="20"/>
          <w:lang w:val="en-GB"/>
        </w:rPr>
        <w:t xml:space="preserve"> </w:t>
      </w:r>
      <w:r w:rsidRPr="0010549B">
        <w:rPr>
          <w:rFonts w:ascii="Arial" w:hAnsi="Arial" w:cs="Arial"/>
          <w:noProof/>
          <w:sz w:val="20"/>
          <w:szCs w:val="20"/>
          <w:lang w:val="en-GB"/>
        </w:rPr>
        <w:t>“ The trend towards a seller's market seen since mid-2009 has become more established over the past year.</w:t>
      </w:r>
      <w:r w:rsidRPr="0010549B">
        <w:rPr>
          <w:rFonts w:ascii="Arial" w:hAnsi="Arial" w:cs="Arial"/>
          <w:sz w:val="20"/>
          <w:szCs w:val="20"/>
          <w:lang w:val="en-GB"/>
        </w:rPr>
        <w:t xml:space="preserve"> </w:t>
      </w:r>
      <w:r w:rsidRPr="0010549B">
        <w:rPr>
          <w:rFonts w:ascii="Arial" w:hAnsi="Arial" w:cs="Arial"/>
          <w:noProof/>
          <w:sz w:val="20"/>
          <w:szCs w:val="20"/>
          <w:lang w:val="en-GB"/>
        </w:rPr>
        <w:t>For example, the proportion of deals with long</w:t>
      </w:r>
    </w:p>
    <w:p w:rsidR="0010549B" w:rsidRPr="0010549B" w:rsidRDefault="0010549B" w:rsidP="0010549B">
      <w:pPr>
        <w:pStyle w:val="CMSIndent2"/>
        <w:spacing w:before="0" w:after="0" w:line="24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noProof/>
          <w:sz w:val="20"/>
          <w:szCs w:val="20"/>
          <w:lang w:val="en-GB"/>
        </w:rPr>
        <w:t>limitation periods exceeding 24 months has halved from 50% at the end of</w:t>
      </w:r>
    </w:p>
    <w:p w:rsidR="0010549B" w:rsidRPr="0010549B" w:rsidRDefault="0010549B" w:rsidP="0010549B">
      <w:pPr>
        <w:pStyle w:val="CMSIndent2"/>
        <w:spacing w:before="0" w:after="0" w:line="24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noProof/>
          <w:sz w:val="20"/>
          <w:szCs w:val="20"/>
          <w:lang w:val="en-GB"/>
        </w:rPr>
        <w:t>2009/start of 2010 to 25% by the end of June 2011."</w:t>
      </w:r>
      <w:r w:rsidRPr="0010549B">
        <w:rPr>
          <w:rFonts w:ascii="Arial" w:hAnsi="Arial" w:cs="Arial"/>
          <w:sz w:val="20"/>
          <w:szCs w:val="20"/>
          <w:lang w:val="en-GB"/>
        </w:rPr>
        <w:t xml:space="preserve"> </w:t>
      </w:r>
      <w:r w:rsidRPr="0010549B">
        <w:rPr>
          <w:rFonts w:ascii="Arial" w:hAnsi="Arial" w:cs="Arial"/>
          <w:noProof/>
          <w:sz w:val="20"/>
          <w:szCs w:val="20"/>
          <w:lang w:val="en-GB"/>
        </w:rPr>
        <w:t>According to Dr. Famira, the</w:t>
      </w:r>
    </w:p>
    <w:p w:rsidR="0010549B" w:rsidRPr="0010549B" w:rsidRDefault="0010549B" w:rsidP="0010549B">
      <w:pPr>
        <w:pStyle w:val="CMSIndent2"/>
        <w:spacing w:before="0" w:after="0" w:line="24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noProof/>
          <w:sz w:val="20"/>
          <w:szCs w:val="20"/>
          <w:lang w:val="en-GB"/>
        </w:rPr>
        <w:t>proportion of transactions with a short limitation period of six to twelve months rose</w:t>
      </w:r>
    </w:p>
    <w:p w:rsidR="0010549B" w:rsidRPr="0010549B" w:rsidRDefault="0010549B" w:rsidP="0010549B">
      <w:pPr>
        <w:pStyle w:val="CMSIndent2"/>
        <w:spacing w:before="0" w:after="0" w:line="24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noProof/>
          <w:sz w:val="20"/>
          <w:szCs w:val="20"/>
          <w:lang w:val="en-GB"/>
        </w:rPr>
        <w:t>sharply from 7% to 25% over the same period.</w:t>
      </w:r>
    </w:p>
    <w:p w:rsidR="0010549B" w:rsidRPr="0010549B" w:rsidRDefault="0010549B" w:rsidP="0010549B">
      <w:pPr>
        <w:pStyle w:val="CMSDash"/>
        <w:numPr>
          <w:ilvl w:val="0"/>
          <w:numId w:val="0"/>
        </w:numPr>
        <w:tabs>
          <w:tab w:val="left" w:pos="708"/>
        </w:tabs>
        <w:adjustRightInd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noProof/>
          <w:sz w:val="20"/>
          <w:lang w:val="en-GB"/>
        </w:rPr>
        <w:t>Since 2009, buyers are also more likely to accept agreements that include sellerfriendly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noProof/>
          <w:sz w:val="20"/>
          <w:lang w:val="en-GB"/>
        </w:rPr>
        <w:t>de minimis and basket clauses (i.e. a threshold or minimum limit for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noProof/>
          <w:sz w:val="20"/>
          <w:lang w:val="en-GB"/>
        </w:rPr>
        <w:lastRenderedPageBreak/>
        <w:t>guarantee claims by the buyer), for example, and rules on liability caps.</w:t>
      </w:r>
      <w:r w:rsidRPr="0010549B">
        <w:rPr>
          <w:rFonts w:ascii="Arial" w:hAnsi="Arial" w:cs="Arial"/>
          <w:sz w:val="20"/>
          <w:lang w:val="en-GB"/>
        </w:rPr>
        <w:t xml:space="preserve"> </w:t>
      </w:r>
      <w:r w:rsidRPr="0010549B">
        <w:rPr>
          <w:rFonts w:ascii="Arial" w:hAnsi="Arial" w:cs="Arial"/>
          <w:noProof/>
          <w:sz w:val="20"/>
          <w:lang w:val="en-GB"/>
        </w:rPr>
        <w:t>In the first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noProof/>
          <w:sz w:val="20"/>
          <w:lang w:val="en-GB"/>
        </w:rPr>
        <w:t>half of 2009, only 8% of all transaction agreements examined contained de minimis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noProof/>
          <w:sz w:val="20"/>
          <w:lang w:val="en-GB"/>
        </w:rPr>
        <w:t>clauses.</w:t>
      </w:r>
      <w:r w:rsidRPr="0010549B">
        <w:rPr>
          <w:rFonts w:ascii="Arial" w:hAnsi="Arial" w:cs="Arial"/>
          <w:sz w:val="20"/>
          <w:lang w:val="en-GB"/>
        </w:rPr>
        <w:t xml:space="preserve"> </w:t>
      </w:r>
      <w:r w:rsidRPr="0010549B">
        <w:rPr>
          <w:rFonts w:ascii="Arial" w:hAnsi="Arial" w:cs="Arial"/>
          <w:noProof/>
          <w:sz w:val="20"/>
          <w:lang w:val="en-GB"/>
        </w:rPr>
        <w:t>A year later, 50% of cases included this provision.</w:t>
      </w:r>
      <w:r w:rsidRPr="0010549B">
        <w:rPr>
          <w:rFonts w:ascii="Arial" w:hAnsi="Arial" w:cs="Arial"/>
          <w:sz w:val="20"/>
          <w:lang w:val="en-GB"/>
        </w:rPr>
        <w:t xml:space="preserve"> </w:t>
      </w:r>
      <w:r w:rsidRPr="0010549B">
        <w:rPr>
          <w:rFonts w:ascii="Arial" w:hAnsi="Arial" w:cs="Arial"/>
          <w:noProof/>
          <w:sz w:val="20"/>
          <w:lang w:val="en-GB"/>
        </w:rPr>
        <w:t>Since that time, the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noProof/>
          <w:sz w:val="20"/>
          <w:lang w:val="en-GB"/>
        </w:rPr>
        <w:t>proportion of transactions containing a de minimis clause has remained substantially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noProof/>
          <w:sz w:val="20"/>
          <w:lang w:val="en-GB"/>
        </w:rPr>
        <w:t>above pre-crisis levels (43% in the second half of 2010 and 33% in the first half of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sz w:val="20"/>
          <w:lang w:val="en-GB"/>
        </w:rPr>
        <w:t xml:space="preserve">2011). </w:t>
      </w:r>
      <w:r w:rsidRPr="0010549B">
        <w:rPr>
          <w:rFonts w:ascii="Arial" w:hAnsi="Arial" w:cs="Arial"/>
          <w:noProof/>
          <w:sz w:val="20"/>
          <w:lang w:val="en-GB"/>
        </w:rPr>
        <w:t>Basket clauses hardly played any role in the first half of 2009, but in the first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noProof/>
          <w:sz w:val="20"/>
          <w:lang w:val="en-GB"/>
        </w:rPr>
        <w:t>six months of 2011 they were used in 29% of transactions.</w:t>
      </w:r>
      <w:r w:rsidRPr="0010549B">
        <w:rPr>
          <w:rFonts w:ascii="Arial" w:hAnsi="Arial" w:cs="Arial"/>
          <w:sz w:val="20"/>
          <w:lang w:val="en-GB"/>
        </w:rPr>
        <w:t xml:space="preserve"> </w:t>
      </w:r>
      <w:r w:rsidRPr="0010549B">
        <w:rPr>
          <w:rFonts w:ascii="Arial" w:hAnsi="Arial" w:cs="Arial"/>
          <w:noProof/>
          <w:sz w:val="20"/>
          <w:lang w:val="en-GB"/>
        </w:rPr>
        <w:t>The proportion of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noProof/>
          <w:sz w:val="20"/>
          <w:lang w:val="en-GB"/>
        </w:rPr>
        <w:t>transactions with a liability cap was 23% in the first six months of 2009 and 46% in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noProof/>
          <w:sz w:val="20"/>
          <w:lang w:val="en-GB"/>
        </w:rPr>
        <w:t>the first half of 2011.</w:t>
      </w:r>
    </w:p>
    <w:p w:rsidR="0010549B" w:rsidRPr="0010549B" w:rsidRDefault="0010549B" w:rsidP="0010549B">
      <w:pPr>
        <w:rPr>
          <w:rFonts w:ascii="Arial" w:hAnsi="Arial" w:cs="Arial"/>
          <w:sz w:val="20"/>
          <w:lang w:val="en-GB"/>
        </w:rPr>
      </w:pPr>
    </w:p>
    <w:p w:rsidR="0010549B" w:rsidRPr="0010549B" w:rsidRDefault="0010549B" w:rsidP="0010549B">
      <w:pPr>
        <w:spacing w:line="280" w:lineRule="auto"/>
        <w:rPr>
          <w:rFonts w:ascii="Arial" w:hAnsi="Arial" w:cs="Arial"/>
          <w:sz w:val="20"/>
          <w:lang w:val="en-GB"/>
        </w:rPr>
      </w:pPr>
      <w:r w:rsidRPr="0010549B">
        <w:rPr>
          <w:rFonts w:ascii="Arial" w:hAnsi="Arial" w:cs="Arial"/>
          <w:b/>
          <w:bCs/>
          <w:color w:val="000000"/>
          <w:sz w:val="20"/>
          <w:lang w:val="en-GB"/>
        </w:rPr>
        <w:t>Differences in Contract Design: Germany, Austria – CEE</w:t>
      </w:r>
    </w:p>
    <w:p w:rsidR="0010549B" w:rsidRPr="0010549B" w:rsidRDefault="0010549B" w:rsidP="0010549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color w:val="000000"/>
          <w:sz w:val="20"/>
          <w:szCs w:val="20"/>
          <w:lang w:val="en-GB"/>
        </w:rPr>
        <w:t xml:space="preserve">The crisis hit the region and was overcome later; also in </w:t>
      </w:r>
      <w:proofErr w:type="spellStart"/>
      <w:r w:rsidRPr="0010549B">
        <w:rPr>
          <w:rFonts w:ascii="Arial" w:hAnsi="Arial" w:cs="Arial"/>
          <w:color w:val="000000"/>
          <w:sz w:val="20"/>
          <w:szCs w:val="20"/>
          <w:lang w:val="en-GB"/>
        </w:rPr>
        <w:t>Q4</w:t>
      </w:r>
      <w:proofErr w:type="spellEnd"/>
      <w:r w:rsidRPr="0010549B">
        <w:rPr>
          <w:rFonts w:ascii="Arial" w:hAnsi="Arial" w:cs="Arial"/>
          <w:color w:val="000000"/>
          <w:sz w:val="20"/>
          <w:szCs w:val="20"/>
          <w:lang w:val="en-GB"/>
        </w:rPr>
        <w:t>/2010, a comparatively high number of transactions which were primarily equity-financed were concluded in CEE. In early 2011, the need for equity capital was balanced.</w:t>
      </w:r>
      <w:r w:rsidRPr="0010549B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 </w:t>
      </w:r>
    </w:p>
    <w:p w:rsidR="0010549B" w:rsidRPr="0010549B" w:rsidRDefault="0010549B" w:rsidP="0010549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color w:val="000000"/>
          <w:sz w:val="20"/>
          <w:szCs w:val="20"/>
          <w:lang w:val="en-GB"/>
        </w:rPr>
        <w:t>Investors look for more security; for a significantly larger share of transactions (70% compared to 40%), investors especially secure the payment of the purchase price via a directly enforceable i</w:t>
      </w:r>
      <w:r w:rsidRPr="0010549B">
        <w:rPr>
          <w:rFonts w:ascii="Arial" w:hAnsi="Arial" w:cs="Arial"/>
          <w:color w:val="000000"/>
          <w:sz w:val="20"/>
          <w:szCs w:val="20"/>
          <w:lang w:val="en-GB"/>
        </w:rPr>
        <w:t>n</w:t>
      </w:r>
      <w:r w:rsidRPr="0010549B">
        <w:rPr>
          <w:rFonts w:ascii="Arial" w:hAnsi="Arial" w:cs="Arial"/>
          <w:color w:val="000000"/>
          <w:sz w:val="20"/>
          <w:szCs w:val="20"/>
          <w:lang w:val="en-GB"/>
        </w:rPr>
        <w:t xml:space="preserve">strument. </w:t>
      </w:r>
      <w:r w:rsidRPr="0010549B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:rsidR="0010549B" w:rsidRPr="0010549B" w:rsidRDefault="0010549B" w:rsidP="0010549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color w:val="000000"/>
          <w:sz w:val="20"/>
          <w:szCs w:val="20"/>
          <w:lang w:val="en-GB"/>
        </w:rPr>
        <w:t>Due diligence audits are more thorough, guarantee periods are shorter: only 25% of CEE deals have guarantee periods longer than two years (compared to 35% in Germany) and about a third of the cases analysed had periods shorter than 6 months (in Germany, this applies to only 10%).</w:t>
      </w:r>
      <w:r w:rsidRPr="0010549B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:rsidR="0010549B" w:rsidRPr="0010549B" w:rsidRDefault="0010549B" w:rsidP="0010549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color w:val="000000"/>
          <w:sz w:val="20"/>
          <w:szCs w:val="20"/>
          <w:lang w:val="en-GB"/>
        </w:rPr>
        <w:t xml:space="preserve">That the parties involved take a “closer look” is also reflected in provisions concerning non-liability of sellers in the case of faults (if the buyer was aware of / should have been aware of / would have been able to find the fault in the documents?): there are more detailed rules for such issues. </w:t>
      </w:r>
      <w:r w:rsidRPr="0010549B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:rsidR="0010549B" w:rsidRPr="0010549B" w:rsidRDefault="0010549B" w:rsidP="0010549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10549B">
        <w:rPr>
          <w:rFonts w:ascii="Arial" w:hAnsi="Arial" w:cs="Arial"/>
          <w:color w:val="000000"/>
          <w:sz w:val="20"/>
          <w:szCs w:val="20"/>
          <w:lang w:val="en-GB"/>
        </w:rPr>
        <w:t>And finally, there seems to be less trust in legal practice in CEE: rules are on average consider</w:t>
      </w:r>
      <w:r w:rsidRPr="0010549B">
        <w:rPr>
          <w:rFonts w:ascii="Arial" w:hAnsi="Arial" w:cs="Arial"/>
          <w:color w:val="000000"/>
          <w:sz w:val="20"/>
          <w:szCs w:val="20"/>
          <w:lang w:val="en-GB"/>
        </w:rPr>
        <w:t>a</w:t>
      </w:r>
      <w:r w:rsidRPr="0010549B">
        <w:rPr>
          <w:rFonts w:ascii="Arial" w:hAnsi="Arial" w:cs="Arial"/>
          <w:color w:val="000000"/>
          <w:sz w:val="20"/>
          <w:szCs w:val="20"/>
          <w:lang w:val="en-GB"/>
        </w:rPr>
        <w:t>bly more comprehensive and detailed.</w:t>
      </w:r>
    </w:p>
    <w:p w:rsidR="001809DD" w:rsidRPr="0010549B" w:rsidRDefault="001809DD" w:rsidP="001809DD">
      <w:pPr>
        <w:rPr>
          <w:rFonts w:ascii="Arial" w:hAnsi="Arial" w:cs="Arial"/>
          <w:sz w:val="20"/>
          <w:lang w:val="en-GB"/>
        </w:rPr>
      </w:pPr>
    </w:p>
    <w:p w:rsidR="001809DD" w:rsidRPr="0010549B" w:rsidRDefault="001809DD" w:rsidP="001809DD">
      <w:pPr>
        <w:rPr>
          <w:rFonts w:ascii="Arial" w:hAnsi="Arial" w:cs="Arial"/>
          <w:sz w:val="20"/>
          <w:lang w:val="en-GB"/>
        </w:rPr>
      </w:pPr>
    </w:p>
    <w:p w:rsidR="00C8763F" w:rsidRPr="0010549B" w:rsidRDefault="00C8763F" w:rsidP="00C8763F">
      <w:pPr>
        <w:rPr>
          <w:rFonts w:ascii="Arial" w:hAnsi="Arial" w:cs="Arial"/>
          <w:bCs/>
          <w:noProof/>
          <w:sz w:val="20"/>
          <w:lang w:val="en-GB"/>
        </w:rPr>
      </w:pPr>
    </w:p>
    <w:p w:rsidR="00C743FB" w:rsidRPr="0010549B" w:rsidRDefault="001809DD" w:rsidP="00C743FB">
      <w:pPr>
        <w:rPr>
          <w:rFonts w:ascii="Arial" w:hAnsi="Arial" w:cs="Arial"/>
          <w:sz w:val="16"/>
          <w:szCs w:val="16"/>
          <w:lang w:val="en-US"/>
        </w:rPr>
      </w:pPr>
      <w:r w:rsidRPr="0010549B">
        <w:rPr>
          <w:rFonts w:ascii="Arial" w:hAnsi="Arial" w:cs="Arial"/>
          <w:iCs/>
          <w:sz w:val="16"/>
          <w:szCs w:val="16"/>
          <w:lang w:val="en-US"/>
        </w:rPr>
        <w:t>For further information please contact</w:t>
      </w:r>
      <w:r w:rsidR="00C743FB" w:rsidRPr="0010549B">
        <w:rPr>
          <w:rFonts w:ascii="Arial" w:hAnsi="Arial" w:cs="Arial"/>
          <w:iCs/>
          <w:sz w:val="16"/>
          <w:szCs w:val="16"/>
          <w:lang w:val="en-US"/>
        </w:rPr>
        <w:t>:</w:t>
      </w:r>
    </w:p>
    <w:p w:rsidR="00C743FB" w:rsidRPr="0010549B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r w:rsidRPr="0010549B">
        <w:rPr>
          <w:rFonts w:ascii="Arial" w:hAnsi="Arial" w:cs="Arial"/>
          <w:b/>
          <w:bCs/>
          <w:iCs/>
          <w:sz w:val="16"/>
          <w:szCs w:val="16"/>
          <w:lang w:val="de-DE"/>
        </w:rPr>
        <w:t>Mag. Kristijana Lastro</w:t>
      </w:r>
    </w:p>
    <w:p w:rsidR="00C743FB" w:rsidRPr="0010549B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smartTag w:uri="urn:schemas-microsoft-com:office:smarttags" w:element="PersonName">
        <w:r w:rsidRPr="0010549B">
          <w:rPr>
            <w:rFonts w:ascii="Arial" w:hAnsi="Arial" w:cs="Arial"/>
            <w:iCs/>
            <w:sz w:val="16"/>
            <w:szCs w:val="16"/>
            <w:lang w:val="de-DE"/>
          </w:rPr>
          <w:t>CMS Reich-Rohrwig Hainz</w:t>
        </w:r>
      </w:smartTag>
      <w:r w:rsidRPr="0010549B">
        <w:rPr>
          <w:rFonts w:ascii="Arial" w:hAnsi="Arial" w:cs="Arial"/>
          <w:iCs/>
          <w:sz w:val="16"/>
          <w:szCs w:val="16"/>
          <w:lang w:val="de-DE"/>
        </w:rPr>
        <w:t xml:space="preserve"> Rechtsanwälte GmbH</w:t>
      </w:r>
    </w:p>
    <w:p w:rsidR="00C743FB" w:rsidRPr="0010549B" w:rsidRDefault="00C743FB" w:rsidP="00C743FB">
      <w:pPr>
        <w:rPr>
          <w:rFonts w:ascii="Arial" w:hAnsi="Arial" w:cs="Arial"/>
          <w:sz w:val="16"/>
          <w:szCs w:val="16"/>
        </w:rPr>
      </w:pPr>
      <w:r w:rsidRPr="0010549B">
        <w:rPr>
          <w:rFonts w:ascii="Arial" w:hAnsi="Arial" w:cs="Arial"/>
          <w:iCs/>
          <w:sz w:val="16"/>
          <w:szCs w:val="16"/>
          <w:lang w:val="de-DE"/>
        </w:rPr>
        <w:t xml:space="preserve">A-1010 Wien, </w:t>
      </w:r>
      <w:proofErr w:type="spellStart"/>
      <w:r w:rsidRPr="0010549B">
        <w:rPr>
          <w:rFonts w:ascii="Arial" w:hAnsi="Arial" w:cs="Arial"/>
          <w:iCs/>
          <w:sz w:val="16"/>
          <w:szCs w:val="16"/>
          <w:lang w:val="de-DE"/>
        </w:rPr>
        <w:t>Ebendorferstraße</w:t>
      </w:r>
      <w:proofErr w:type="spellEnd"/>
      <w:r w:rsidRPr="0010549B">
        <w:rPr>
          <w:rFonts w:ascii="Arial" w:hAnsi="Arial" w:cs="Arial"/>
          <w:iCs/>
          <w:sz w:val="16"/>
          <w:szCs w:val="16"/>
          <w:lang w:val="de-DE"/>
        </w:rPr>
        <w:t xml:space="preserve"> 3</w:t>
      </w:r>
    </w:p>
    <w:p w:rsidR="00C743FB" w:rsidRPr="0010549B" w:rsidRDefault="00C743FB" w:rsidP="00147D48">
      <w:pPr>
        <w:rPr>
          <w:rFonts w:ascii="Arial" w:hAnsi="Arial" w:cs="Arial"/>
          <w:sz w:val="16"/>
          <w:szCs w:val="16"/>
        </w:rPr>
      </w:pPr>
      <w:r w:rsidRPr="0010549B">
        <w:rPr>
          <w:rFonts w:ascii="Arial" w:hAnsi="Arial" w:cs="Arial"/>
          <w:iCs/>
          <w:sz w:val="16"/>
          <w:szCs w:val="16"/>
          <w:lang w:val="de-DE"/>
        </w:rPr>
        <w:t xml:space="preserve">T +43 1 40443 </w:t>
      </w:r>
      <w:r w:rsidR="002379BF" w:rsidRPr="0010549B">
        <w:rPr>
          <w:rFonts w:ascii="Arial" w:hAnsi="Arial" w:cs="Arial"/>
          <w:iCs/>
          <w:sz w:val="16"/>
          <w:szCs w:val="16"/>
          <w:lang w:val="de-DE"/>
        </w:rPr>
        <w:t>4000</w:t>
      </w:r>
    </w:p>
    <w:p w:rsidR="00C743FB" w:rsidRPr="0010549B" w:rsidRDefault="00C743FB" w:rsidP="00C743FB">
      <w:pPr>
        <w:rPr>
          <w:rFonts w:ascii="Arial" w:hAnsi="Arial" w:cs="Arial"/>
          <w:sz w:val="16"/>
          <w:szCs w:val="16"/>
        </w:rPr>
      </w:pPr>
      <w:r w:rsidRPr="0010549B">
        <w:rPr>
          <w:rFonts w:ascii="Arial" w:hAnsi="Arial" w:cs="Arial"/>
          <w:iCs/>
          <w:sz w:val="16"/>
          <w:szCs w:val="16"/>
          <w:lang w:val="de-DE"/>
        </w:rPr>
        <w:t>F +43 1 40443 9</w:t>
      </w:r>
      <w:r w:rsidR="002379BF" w:rsidRPr="0010549B">
        <w:rPr>
          <w:rFonts w:ascii="Arial" w:hAnsi="Arial" w:cs="Arial"/>
          <w:iCs/>
          <w:sz w:val="16"/>
          <w:szCs w:val="16"/>
          <w:lang w:val="de-DE"/>
        </w:rPr>
        <w:t>4000</w:t>
      </w:r>
    </w:p>
    <w:p w:rsidR="00C743FB" w:rsidRPr="0010549B" w:rsidRDefault="00C743FB" w:rsidP="00C743FB">
      <w:pPr>
        <w:outlineLvl w:val="0"/>
        <w:rPr>
          <w:rFonts w:ascii="Arial" w:hAnsi="Arial" w:cs="Arial"/>
          <w:sz w:val="16"/>
          <w:szCs w:val="16"/>
          <w:lang w:val="it-IT"/>
        </w:rPr>
      </w:pPr>
      <w:r w:rsidRPr="0010549B">
        <w:rPr>
          <w:rFonts w:ascii="Arial" w:hAnsi="Arial" w:cs="Arial"/>
          <w:iCs/>
          <w:sz w:val="16"/>
          <w:szCs w:val="16"/>
          <w:lang w:val="it-IT"/>
        </w:rPr>
        <w:t xml:space="preserve">E </w:t>
      </w:r>
      <w:hyperlink r:id="rId8" w:history="1">
        <w:r w:rsidRPr="0010549B">
          <w:rPr>
            <w:rStyle w:val="Hyperlink"/>
            <w:rFonts w:ascii="Arial" w:hAnsi="Arial" w:cs="Arial"/>
            <w:iCs/>
            <w:sz w:val="16"/>
            <w:szCs w:val="16"/>
            <w:lang w:val="it-IT"/>
          </w:rPr>
          <w:t>kristijana.lastro@cms-rrh.com</w:t>
        </w:r>
      </w:hyperlink>
    </w:p>
    <w:p w:rsidR="00C743FB" w:rsidRPr="0010549B" w:rsidRDefault="00C743FB" w:rsidP="00C743FB">
      <w:pPr>
        <w:tabs>
          <w:tab w:val="left" w:pos="5103"/>
        </w:tabs>
        <w:ind w:right="-288"/>
        <w:rPr>
          <w:rFonts w:ascii="Arial" w:hAnsi="Arial" w:cs="Arial"/>
          <w:sz w:val="16"/>
          <w:szCs w:val="16"/>
          <w:lang w:val="it-IT"/>
        </w:rPr>
      </w:pPr>
    </w:p>
    <w:p w:rsidR="00C743FB" w:rsidRPr="0010549B" w:rsidRDefault="00C743FB" w:rsidP="00C743FB">
      <w:pPr>
        <w:ind w:right="-288"/>
        <w:rPr>
          <w:rFonts w:ascii="Arial" w:hAnsi="Arial" w:cs="Arial"/>
          <w:sz w:val="16"/>
          <w:szCs w:val="16"/>
          <w:lang w:val="it-IT"/>
        </w:rPr>
      </w:pPr>
    </w:p>
    <w:p w:rsidR="008907E1" w:rsidRPr="0010549B" w:rsidRDefault="003C2669" w:rsidP="008907E1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16"/>
          <w:szCs w:val="16"/>
          <w:lang w:val="en-US"/>
        </w:rPr>
      </w:pPr>
      <w:r w:rsidRPr="0010549B">
        <w:rPr>
          <w:rStyle w:val="Fett"/>
          <w:rFonts w:ascii="Arial" w:hAnsi="Arial" w:cs="Arial"/>
          <w:sz w:val="16"/>
          <w:szCs w:val="16"/>
          <w:lang w:val="en-US"/>
        </w:rPr>
        <w:t>About</w:t>
      </w:r>
      <w:r w:rsidR="008907E1" w:rsidRPr="0010549B">
        <w:rPr>
          <w:rStyle w:val="Fett"/>
          <w:rFonts w:ascii="Arial" w:hAnsi="Arial" w:cs="Arial"/>
          <w:sz w:val="16"/>
          <w:szCs w:val="16"/>
          <w:lang w:val="en-US"/>
        </w:rPr>
        <w:t xml:space="preserve"> </w:t>
      </w:r>
      <w:smartTag w:uri="urn:schemas-microsoft-com:office:smarttags" w:element="PersonName">
        <w:r w:rsidR="008907E1" w:rsidRPr="0010549B">
          <w:rPr>
            <w:rStyle w:val="Fett"/>
            <w:rFonts w:ascii="Arial" w:hAnsi="Arial" w:cs="Arial"/>
            <w:sz w:val="16"/>
            <w:szCs w:val="16"/>
            <w:lang w:val="en-US"/>
          </w:rPr>
          <w:t>CMS Reich-Rohrwig Hainz</w:t>
        </w:r>
      </w:smartTag>
    </w:p>
    <w:p w:rsidR="003E72CD" w:rsidRPr="0010549B" w:rsidRDefault="003E72CD" w:rsidP="001775D4">
      <w:pPr>
        <w:pStyle w:val="StandardWeb"/>
        <w:jc w:val="both"/>
        <w:rPr>
          <w:rFonts w:ascii="Arial" w:hAnsi="Arial" w:cs="Arial"/>
          <w:sz w:val="16"/>
          <w:szCs w:val="16"/>
          <w:lang w:val="en-GB"/>
        </w:rPr>
      </w:pPr>
      <w:r w:rsidRPr="0010549B">
        <w:rPr>
          <w:rFonts w:ascii="Arial" w:hAnsi="Arial" w:cs="Arial"/>
          <w:sz w:val="16"/>
          <w:szCs w:val="16"/>
          <w:lang w:val="en-GB"/>
        </w:rPr>
        <w:t xml:space="preserve">CMS Reich-Rohrwig Hainz was founded in </w:t>
      </w:r>
      <w:smartTag w:uri="urn:schemas-microsoft-com:office:smarttags" w:element="place">
        <w:smartTag w:uri="urn:schemas-microsoft-com:office:smarttags" w:element="City">
          <w:r w:rsidRPr="0010549B">
            <w:rPr>
              <w:rFonts w:ascii="Arial" w:hAnsi="Arial" w:cs="Arial"/>
              <w:sz w:val="16"/>
              <w:szCs w:val="16"/>
              <w:lang w:val="en-GB"/>
            </w:rPr>
            <w:t>Vienna</w:t>
          </w:r>
        </w:smartTag>
      </w:smartTag>
      <w:r w:rsidRPr="0010549B">
        <w:rPr>
          <w:rFonts w:ascii="Arial" w:hAnsi="Arial" w:cs="Arial"/>
          <w:sz w:val="16"/>
          <w:szCs w:val="16"/>
          <w:lang w:val="en-GB"/>
        </w:rPr>
        <w:t xml:space="preserve"> in 1970 and has since emerged as one of the leading specialists in all areas of commercial and labour law. Highly-specialized teams consisting of internationally experienced lawyers primarily provide services in the following fields of law: M&amp;A, banking and finance, real estate, taxes, labour laws, IP and IT laws, and public procurement. The company operates offices in </w:t>
      </w:r>
      <w:smartTag w:uri="urn:schemas-microsoft-com:office:smarttags" w:element="City">
        <w:r w:rsidRPr="0010549B">
          <w:rPr>
            <w:rFonts w:ascii="Arial" w:hAnsi="Arial" w:cs="Arial"/>
            <w:sz w:val="16"/>
            <w:szCs w:val="16"/>
            <w:lang w:val="en-GB"/>
          </w:rPr>
          <w:t>Vienna</w:t>
        </w:r>
      </w:smartTag>
      <w:r w:rsidRPr="0010549B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10549B">
          <w:rPr>
            <w:rFonts w:ascii="Arial" w:hAnsi="Arial" w:cs="Arial"/>
            <w:sz w:val="16"/>
            <w:szCs w:val="16"/>
            <w:lang w:val="en-GB"/>
          </w:rPr>
          <w:t>Belgrade</w:t>
        </w:r>
      </w:smartTag>
      <w:r w:rsidRPr="0010549B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10549B">
          <w:rPr>
            <w:rFonts w:ascii="Arial" w:hAnsi="Arial" w:cs="Arial"/>
            <w:sz w:val="16"/>
            <w:szCs w:val="16"/>
            <w:lang w:val="en-GB"/>
          </w:rPr>
          <w:t>Bratislava</w:t>
        </w:r>
      </w:smartTag>
      <w:r w:rsidRPr="0010549B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10549B">
          <w:rPr>
            <w:rFonts w:ascii="Arial" w:hAnsi="Arial" w:cs="Arial"/>
            <w:sz w:val="16"/>
            <w:szCs w:val="16"/>
            <w:lang w:val="en-GB"/>
          </w:rPr>
          <w:t>Brussels</w:t>
        </w:r>
      </w:smartTag>
      <w:r w:rsidRPr="0010549B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10549B">
          <w:rPr>
            <w:rFonts w:ascii="Arial" w:hAnsi="Arial" w:cs="Arial"/>
            <w:sz w:val="16"/>
            <w:szCs w:val="16"/>
            <w:lang w:val="en-GB"/>
          </w:rPr>
          <w:t>Kiev</w:t>
        </w:r>
      </w:smartTag>
      <w:r w:rsidRPr="0010549B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10549B">
          <w:rPr>
            <w:rFonts w:ascii="Arial" w:hAnsi="Arial" w:cs="Arial"/>
            <w:sz w:val="16"/>
            <w:szCs w:val="16"/>
            <w:lang w:val="en-GB"/>
          </w:rPr>
          <w:t>Ljubljana</w:t>
        </w:r>
      </w:smartTag>
      <w:r w:rsidRPr="0010549B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10549B">
          <w:rPr>
            <w:rFonts w:ascii="Arial" w:hAnsi="Arial" w:cs="Arial"/>
            <w:sz w:val="16"/>
            <w:szCs w:val="16"/>
            <w:lang w:val="en-GB"/>
          </w:rPr>
          <w:t>Sarajevo</w:t>
        </w:r>
      </w:smartTag>
      <w:r w:rsidRPr="0010549B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10549B">
          <w:rPr>
            <w:rFonts w:ascii="Arial" w:hAnsi="Arial" w:cs="Arial"/>
            <w:sz w:val="16"/>
            <w:szCs w:val="16"/>
            <w:lang w:val="en-GB"/>
          </w:rPr>
          <w:t>Sofia</w:t>
        </w:r>
      </w:smartTag>
      <w:r w:rsidRPr="0010549B">
        <w:rPr>
          <w:rFonts w:ascii="Arial" w:hAnsi="Arial" w:cs="Arial"/>
          <w:sz w:val="16"/>
          <w:szCs w:val="16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10549B">
            <w:rPr>
              <w:rFonts w:ascii="Arial" w:hAnsi="Arial" w:cs="Arial"/>
              <w:sz w:val="16"/>
              <w:szCs w:val="16"/>
              <w:lang w:val="en-GB"/>
            </w:rPr>
            <w:t>Zagreb</w:t>
          </w:r>
        </w:smartTag>
      </w:smartTag>
      <w:r w:rsidRPr="0010549B">
        <w:rPr>
          <w:rFonts w:ascii="Arial" w:hAnsi="Arial" w:cs="Arial"/>
          <w:sz w:val="16"/>
          <w:szCs w:val="16"/>
          <w:lang w:val="en-GB"/>
        </w:rPr>
        <w:t>. All CMS offices together offer clients a team of more than 500 experienced specialists in 13 offices across the CEE/SEE region.</w:t>
      </w:r>
    </w:p>
    <w:p w:rsidR="008907E1" w:rsidRPr="0010549B" w:rsidRDefault="003E72CD" w:rsidP="001775D4">
      <w:pPr>
        <w:pStyle w:val="StandardWeb"/>
        <w:spacing w:before="0" w:beforeAutospacing="0" w:after="0" w:afterAutospacing="0"/>
        <w:jc w:val="both"/>
        <w:rPr>
          <w:lang w:val="en-GB"/>
        </w:rPr>
      </w:pPr>
      <w:r w:rsidRPr="0010549B">
        <w:rPr>
          <w:rFonts w:ascii="Arial" w:hAnsi="Arial" w:cs="Arial"/>
          <w:sz w:val="16"/>
          <w:szCs w:val="16"/>
          <w:lang w:val="en-GB"/>
        </w:rPr>
        <w:t xml:space="preserve">CMS Reich-Rohrwig Hainz is one of the founding members of CMS, </w:t>
      </w:r>
      <w:r w:rsidR="00CD0F01" w:rsidRPr="0010549B">
        <w:rPr>
          <w:rFonts w:ascii="Arial" w:hAnsi="Arial" w:cs="Arial"/>
          <w:sz w:val="16"/>
          <w:szCs w:val="16"/>
          <w:lang w:val="en-GB"/>
        </w:rPr>
        <w:t>the</w:t>
      </w:r>
      <w:r w:rsidRPr="0010549B">
        <w:rPr>
          <w:rFonts w:ascii="Arial" w:hAnsi="Arial" w:cs="Arial"/>
          <w:sz w:val="16"/>
          <w:szCs w:val="16"/>
          <w:lang w:val="en-GB"/>
        </w:rPr>
        <w:t xml:space="preserve"> association of leading European legal firms and tax co</w:t>
      </w:r>
      <w:r w:rsidRPr="0010549B">
        <w:rPr>
          <w:rFonts w:ascii="Arial" w:hAnsi="Arial" w:cs="Arial"/>
          <w:sz w:val="16"/>
          <w:szCs w:val="16"/>
          <w:lang w:val="en-GB"/>
        </w:rPr>
        <w:t>n</w:t>
      </w:r>
      <w:r w:rsidRPr="0010549B">
        <w:rPr>
          <w:rFonts w:ascii="Arial" w:hAnsi="Arial" w:cs="Arial"/>
          <w:sz w:val="16"/>
          <w:szCs w:val="16"/>
          <w:lang w:val="en-GB"/>
        </w:rPr>
        <w:t xml:space="preserve">sultants. At present, CMS operates a network consisting of more than </w:t>
      </w:r>
      <w:r w:rsidR="007D253D" w:rsidRPr="0010549B">
        <w:rPr>
          <w:rFonts w:ascii="Arial" w:hAnsi="Arial" w:cs="Arial"/>
          <w:sz w:val="16"/>
          <w:szCs w:val="16"/>
          <w:lang w:val="en-GB"/>
        </w:rPr>
        <w:t>7</w:t>
      </w:r>
      <w:r w:rsidRPr="0010549B">
        <w:rPr>
          <w:rFonts w:ascii="Arial" w:hAnsi="Arial" w:cs="Arial"/>
          <w:sz w:val="16"/>
          <w:szCs w:val="16"/>
          <w:lang w:val="en-GB"/>
        </w:rPr>
        <w:t>00 partners, 2,</w:t>
      </w:r>
      <w:r w:rsidR="007D253D" w:rsidRPr="0010549B">
        <w:rPr>
          <w:rFonts w:ascii="Arial" w:hAnsi="Arial" w:cs="Arial"/>
          <w:sz w:val="16"/>
          <w:szCs w:val="16"/>
          <w:lang w:val="en-GB"/>
        </w:rPr>
        <w:t>8</w:t>
      </w:r>
      <w:r w:rsidRPr="0010549B">
        <w:rPr>
          <w:rFonts w:ascii="Arial" w:hAnsi="Arial" w:cs="Arial"/>
          <w:sz w:val="16"/>
          <w:szCs w:val="16"/>
          <w:lang w:val="en-GB"/>
        </w:rPr>
        <w:t xml:space="preserve">00 lawyers and tax consultants, and a total of </w:t>
      </w:r>
      <w:r w:rsidR="007D253D" w:rsidRPr="0010549B">
        <w:rPr>
          <w:rFonts w:ascii="Arial" w:hAnsi="Arial" w:cs="Arial"/>
          <w:sz w:val="16"/>
          <w:szCs w:val="16"/>
          <w:lang w:val="en-GB"/>
        </w:rPr>
        <w:t>5</w:t>
      </w:r>
      <w:r w:rsidRPr="0010549B">
        <w:rPr>
          <w:rFonts w:ascii="Arial" w:hAnsi="Arial" w:cs="Arial"/>
          <w:sz w:val="16"/>
          <w:szCs w:val="16"/>
          <w:lang w:val="en-GB"/>
        </w:rPr>
        <w:t>,</w:t>
      </w:r>
      <w:r w:rsidR="007D253D" w:rsidRPr="0010549B">
        <w:rPr>
          <w:rFonts w:ascii="Arial" w:hAnsi="Arial" w:cs="Arial"/>
          <w:sz w:val="16"/>
          <w:szCs w:val="16"/>
          <w:lang w:val="en-GB"/>
        </w:rPr>
        <w:t>0</w:t>
      </w:r>
      <w:r w:rsidRPr="0010549B">
        <w:rPr>
          <w:rFonts w:ascii="Arial" w:hAnsi="Arial" w:cs="Arial"/>
          <w:sz w:val="16"/>
          <w:szCs w:val="16"/>
          <w:lang w:val="en-GB"/>
        </w:rPr>
        <w:t xml:space="preserve">00 employees working on behalf of its clients.  </w:t>
      </w:r>
      <w:r w:rsidR="008907E1" w:rsidRPr="0010549B">
        <w:rPr>
          <w:rFonts w:ascii="Arial" w:hAnsi="Arial" w:cs="Arial"/>
          <w:sz w:val="16"/>
          <w:szCs w:val="16"/>
          <w:lang w:val="en-GB"/>
        </w:rPr>
        <w:t xml:space="preserve">www.cms-rrh.com </w:t>
      </w:r>
    </w:p>
    <w:p w:rsidR="001809DD" w:rsidRPr="0010549B" w:rsidRDefault="001809DD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3C2669" w:rsidRPr="0010549B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8907E1" w:rsidRPr="0010549B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US"/>
        </w:rPr>
      </w:pPr>
      <w:r w:rsidRPr="0010549B">
        <w:rPr>
          <w:rFonts w:ascii="Arial" w:hAnsi="Arial" w:cs="Arial"/>
          <w:b/>
          <w:bCs/>
          <w:sz w:val="16"/>
          <w:szCs w:val="16"/>
          <w:lang w:val="en-US"/>
        </w:rPr>
        <w:t>About</w:t>
      </w:r>
      <w:r w:rsidR="008907E1" w:rsidRPr="0010549B">
        <w:rPr>
          <w:rFonts w:ascii="Arial" w:hAnsi="Arial" w:cs="Arial"/>
          <w:b/>
          <w:bCs/>
          <w:sz w:val="16"/>
          <w:szCs w:val="16"/>
          <w:lang w:val="en-US"/>
        </w:rPr>
        <w:t xml:space="preserve"> CMS</w:t>
      </w:r>
    </w:p>
    <w:p w:rsidR="003C2669" w:rsidRPr="0010549B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10549B">
        <w:rPr>
          <w:rFonts w:ascii="Arial" w:hAnsi="Arial" w:cs="Arial"/>
          <w:sz w:val="16"/>
          <w:szCs w:val="16"/>
          <w:lang w:val="en-US"/>
        </w:rPr>
        <w:t xml:space="preserve">CMS aims to be </w:t>
      </w:r>
      <w:proofErr w:type="spellStart"/>
      <w:r w:rsidRPr="0010549B">
        <w:rPr>
          <w:rFonts w:ascii="Arial" w:hAnsi="Arial" w:cs="Arial"/>
          <w:sz w:val="16"/>
          <w:szCs w:val="16"/>
          <w:lang w:val="en-US"/>
        </w:rPr>
        <w:t>recognised</w:t>
      </w:r>
      <w:proofErr w:type="spellEnd"/>
      <w:r w:rsidRPr="0010549B">
        <w:rPr>
          <w:rFonts w:ascii="Arial" w:hAnsi="Arial" w:cs="Arial"/>
          <w:sz w:val="16"/>
          <w:szCs w:val="16"/>
          <w:lang w:val="en-US"/>
        </w:rPr>
        <w:t xml:space="preserve"> as the best European provider of legal and tax services. Clients say that what makes CMS special is a combination of three things:</w:t>
      </w:r>
    </w:p>
    <w:p w:rsidR="003C2669" w:rsidRPr="0010549B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10549B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10549B">
        <w:rPr>
          <w:rFonts w:ascii="Arial" w:hAnsi="Arial" w:cs="Arial"/>
          <w:sz w:val="16"/>
          <w:szCs w:val="16"/>
          <w:lang w:val="en-US"/>
        </w:rPr>
        <w:t>Strong, trusted client relationships</w:t>
      </w:r>
    </w:p>
    <w:p w:rsidR="003C2669" w:rsidRPr="0010549B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10549B">
        <w:rPr>
          <w:rFonts w:ascii="Arial" w:hAnsi="Arial" w:cs="Arial"/>
          <w:sz w:val="16"/>
          <w:szCs w:val="16"/>
          <w:lang w:val="en-US"/>
        </w:rPr>
        <w:t>High quality advice</w:t>
      </w:r>
    </w:p>
    <w:p w:rsidR="003C2669" w:rsidRPr="0010549B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10549B">
        <w:rPr>
          <w:rFonts w:ascii="Arial" w:hAnsi="Arial" w:cs="Arial"/>
          <w:sz w:val="16"/>
          <w:szCs w:val="16"/>
          <w:lang w:val="en-US"/>
        </w:rPr>
        <w:t>Industry specialization</w:t>
      </w:r>
    </w:p>
    <w:p w:rsidR="003C2669" w:rsidRPr="0010549B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10549B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10549B">
        <w:rPr>
          <w:rFonts w:ascii="Arial" w:hAnsi="Arial" w:cs="Arial"/>
          <w:sz w:val="16"/>
          <w:szCs w:val="16"/>
          <w:lang w:val="en-US"/>
        </w:rPr>
        <w:t xml:space="preserve">We combine deep local expertise and the most extensive presence in </w:t>
      </w:r>
      <w:smartTag w:uri="urn:schemas-microsoft-com:office:smarttags" w:element="place">
        <w:r w:rsidRPr="0010549B">
          <w:rPr>
            <w:rFonts w:ascii="Arial" w:hAnsi="Arial" w:cs="Arial"/>
            <w:sz w:val="16"/>
            <w:szCs w:val="16"/>
            <w:lang w:val="en-US"/>
          </w:rPr>
          <w:t>Europe</w:t>
        </w:r>
      </w:smartTag>
      <w:r w:rsidRPr="0010549B">
        <w:rPr>
          <w:rFonts w:ascii="Arial" w:hAnsi="Arial" w:cs="Arial"/>
          <w:sz w:val="16"/>
          <w:szCs w:val="16"/>
          <w:lang w:val="en-US"/>
        </w:rPr>
        <w:t xml:space="preserve"> with cross-border consistency and coordination.</w:t>
      </w:r>
    </w:p>
    <w:p w:rsidR="003C2669" w:rsidRPr="0010549B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10549B">
        <w:rPr>
          <w:rFonts w:ascii="Arial" w:hAnsi="Arial" w:cs="Arial"/>
          <w:sz w:val="16"/>
          <w:szCs w:val="16"/>
          <w:lang w:val="en-US"/>
        </w:rPr>
        <w:lastRenderedPageBreak/>
        <w:t xml:space="preserve">CMS has a common culture and a shared heritage which make us distinctively European. CMS operates in </w:t>
      </w:r>
      <w:r w:rsidR="00F9243D" w:rsidRPr="0010549B">
        <w:rPr>
          <w:rFonts w:ascii="Arial" w:hAnsi="Arial" w:cs="Arial"/>
          <w:sz w:val="16"/>
          <w:szCs w:val="16"/>
          <w:lang w:val="en-US"/>
        </w:rPr>
        <w:t>30</w:t>
      </w:r>
      <w:r w:rsidRPr="0010549B">
        <w:rPr>
          <w:rFonts w:ascii="Arial" w:hAnsi="Arial" w:cs="Arial"/>
          <w:sz w:val="16"/>
          <w:szCs w:val="16"/>
          <w:lang w:val="en-US"/>
        </w:rPr>
        <w:t xml:space="preserve"> jurisdictions, with 5</w:t>
      </w:r>
      <w:r w:rsidR="00F9243D" w:rsidRPr="0010549B">
        <w:rPr>
          <w:rFonts w:ascii="Arial" w:hAnsi="Arial" w:cs="Arial"/>
          <w:sz w:val="16"/>
          <w:szCs w:val="16"/>
          <w:lang w:val="en-US"/>
        </w:rPr>
        <w:t>4</w:t>
      </w:r>
      <w:r w:rsidRPr="0010549B">
        <w:rPr>
          <w:rFonts w:ascii="Arial" w:hAnsi="Arial" w:cs="Arial"/>
          <w:sz w:val="16"/>
          <w:szCs w:val="16"/>
          <w:lang w:val="en-US"/>
        </w:rPr>
        <w:t xml:space="preserve"> offices in Western and Central Europe and beyond. CMS was established in 1999 and today comprises ni</w:t>
      </w:r>
      <w:r w:rsidR="007D253D" w:rsidRPr="0010549B">
        <w:rPr>
          <w:rFonts w:ascii="Arial" w:hAnsi="Arial" w:cs="Arial"/>
          <w:sz w:val="16"/>
          <w:szCs w:val="16"/>
          <w:lang w:val="en-US"/>
        </w:rPr>
        <w:t>ne CMS firms, employing over 2,8</w:t>
      </w:r>
      <w:r w:rsidRPr="0010549B">
        <w:rPr>
          <w:rFonts w:ascii="Arial" w:hAnsi="Arial" w:cs="Arial"/>
          <w:sz w:val="16"/>
          <w:szCs w:val="16"/>
          <w:lang w:val="en-US"/>
        </w:rPr>
        <w:t xml:space="preserve">00 lawyers. CMS is headquartered in </w:t>
      </w:r>
      <w:smartTag w:uri="urn:schemas-microsoft-com:office:smarttags" w:element="place">
        <w:smartTag w:uri="urn:schemas-microsoft-com:office:smarttags" w:element="City">
          <w:r w:rsidRPr="0010549B">
            <w:rPr>
              <w:rFonts w:ascii="Arial" w:hAnsi="Arial" w:cs="Arial"/>
              <w:sz w:val="16"/>
              <w:szCs w:val="16"/>
              <w:lang w:val="en-US"/>
            </w:rPr>
            <w:t>Frankfurt</w:t>
          </w:r>
        </w:smartTag>
        <w:r w:rsidRPr="0010549B">
          <w:rPr>
            <w:rFonts w:ascii="Arial" w:hAnsi="Arial" w:cs="Arial"/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10549B">
            <w:rPr>
              <w:rFonts w:ascii="Arial" w:hAnsi="Arial" w:cs="Arial"/>
              <w:sz w:val="16"/>
              <w:szCs w:val="16"/>
              <w:lang w:val="en-US"/>
            </w:rPr>
            <w:t>Germany</w:t>
          </w:r>
        </w:smartTag>
      </w:smartTag>
      <w:r w:rsidRPr="0010549B">
        <w:rPr>
          <w:rFonts w:ascii="Arial" w:hAnsi="Arial" w:cs="Arial"/>
          <w:sz w:val="16"/>
          <w:szCs w:val="16"/>
          <w:lang w:val="en-US"/>
        </w:rPr>
        <w:t>.</w:t>
      </w:r>
    </w:p>
    <w:p w:rsidR="003C2669" w:rsidRPr="0010549B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10549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10549B">
        <w:rPr>
          <w:rFonts w:ascii="Arial" w:hAnsi="Arial" w:cs="Arial"/>
          <w:b/>
          <w:sz w:val="16"/>
          <w:szCs w:val="16"/>
          <w:lang w:val="en-US"/>
        </w:rPr>
        <w:t>CMS member firms are:</w:t>
      </w:r>
      <w:r w:rsidRPr="0010549B">
        <w:rPr>
          <w:rFonts w:ascii="Arial" w:hAnsi="Arial" w:cs="Arial"/>
          <w:sz w:val="16"/>
          <w:szCs w:val="16"/>
          <w:lang w:val="en-US"/>
        </w:rPr>
        <w:t xml:space="preserve"> CMS </w:t>
      </w:r>
      <w:proofErr w:type="spellStart"/>
      <w:r w:rsidRPr="0010549B">
        <w:rPr>
          <w:rFonts w:ascii="Arial" w:hAnsi="Arial" w:cs="Arial"/>
          <w:sz w:val="16"/>
          <w:szCs w:val="16"/>
          <w:lang w:val="en-US"/>
        </w:rPr>
        <w:t>Adonnino</w:t>
      </w:r>
      <w:proofErr w:type="spellEnd"/>
      <w:r w:rsidRPr="0010549B">
        <w:rPr>
          <w:rFonts w:ascii="Arial" w:hAnsi="Arial" w:cs="Arial"/>
          <w:sz w:val="16"/>
          <w:szCs w:val="16"/>
          <w:lang w:val="en-US"/>
        </w:rPr>
        <w:t xml:space="preserve"> Ascoli &amp; </w:t>
      </w:r>
      <w:proofErr w:type="spellStart"/>
      <w:r w:rsidRPr="0010549B">
        <w:rPr>
          <w:rFonts w:ascii="Arial" w:hAnsi="Arial" w:cs="Arial"/>
          <w:sz w:val="16"/>
          <w:szCs w:val="16"/>
          <w:lang w:val="en-US"/>
        </w:rPr>
        <w:t>Cavasola</w:t>
      </w:r>
      <w:proofErr w:type="spellEnd"/>
      <w:r w:rsidRPr="0010549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0549B">
        <w:rPr>
          <w:rFonts w:ascii="Arial" w:hAnsi="Arial" w:cs="Arial"/>
          <w:sz w:val="16"/>
          <w:szCs w:val="16"/>
          <w:lang w:val="en-US"/>
        </w:rPr>
        <w:t>Scamoni</w:t>
      </w:r>
      <w:proofErr w:type="spellEnd"/>
      <w:r w:rsidRPr="0010549B">
        <w:rPr>
          <w:rFonts w:ascii="Arial" w:hAnsi="Arial" w:cs="Arial"/>
          <w:sz w:val="16"/>
          <w:szCs w:val="16"/>
          <w:lang w:val="en-US"/>
        </w:rPr>
        <w:t xml:space="preserve"> (Italy); CMS </w:t>
      </w:r>
      <w:proofErr w:type="spellStart"/>
      <w:r w:rsidRPr="0010549B">
        <w:rPr>
          <w:rFonts w:ascii="Arial" w:hAnsi="Arial" w:cs="Arial"/>
          <w:sz w:val="16"/>
          <w:szCs w:val="16"/>
          <w:lang w:val="en-US"/>
        </w:rPr>
        <w:t>Albiñana</w:t>
      </w:r>
      <w:proofErr w:type="spellEnd"/>
      <w:r w:rsidRPr="0010549B">
        <w:rPr>
          <w:rFonts w:ascii="Arial" w:hAnsi="Arial" w:cs="Arial"/>
          <w:sz w:val="16"/>
          <w:szCs w:val="16"/>
          <w:lang w:val="en-US"/>
        </w:rPr>
        <w:t xml:space="preserve"> &amp; </w:t>
      </w:r>
      <w:proofErr w:type="spellStart"/>
      <w:r w:rsidRPr="0010549B">
        <w:rPr>
          <w:rFonts w:ascii="Arial" w:hAnsi="Arial" w:cs="Arial"/>
          <w:sz w:val="16"/>
          <w:szCs w:val="16"/>
          <w:lang w:val="en-US"/>
        </w:rPr>
        <w:t>Suárez</w:t>
      </w:r>
      <w:proofErr w:type="spellEnd"/>
      <w:r w:rsidRPr="0010549B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10549B">
        <w:rPr>
          <w:rFonts w:ascii="Arial" w:hAnsi="Arial" w:cs="Arial"/>
          <w:sz w:val="16"/>
          <w:szCs w:val="16"/>
          <w:lang w:val="en-US"/>
        </w:rPr>
        <w:t>Lezo</w:t>
      </w:r>
      <w:proofErr w:type="spellEnd"/>
      <w:r w:rsidRPr="0010549B">
        <w:rPr>
          <w:rFonts w:ascii="Arial" w:hAnsi="Arial" w:cs="Arial"/>
          <w:sz w:val="16"/>
          <w:szCs w:val="16"/>
          <w:lang w:val="en-US"/>
        </w:rPr>
        <w:t xml:space="preserve">, S.L.P. (Spain); CMS Bureau Francis Lefebvre (France); CMS Cameron McKenna LLP (UK); CMS </w:t>
      </w:r>
      <w:proofErr w:type="spellStart"/>
      <w:r w:rsidRPr="0010549B">
        <w:rPr>
          <w:rFonts w:ascii="Arial" w:hAnsi="Arial" w:cs="Arial"/>
          <w:sz w:val="16"/>
          <w:szCs w:val="16"/>
          <w:lang w:val="en-US"/>
        </w:rPr>
        <w:t>DeBacker</w:t>
      </w:r>
      <w:proofErr w:type="spellEnd"/>
      <w:r w:rsidR="00143F93" w:rsidRPr="0010549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0549B">
        <w:rPr>
          <w:rFonts w:ascii="Arial" w:hAnsi="Arial" w:cs="Arial"/>
          <w:sz w:val="16"/>
          <w:szCs w:val="16"/>
          <w:lang w:val="en-US"/>
        </w:rPr>
        <w:t>Leclère</w:t>
      </w:r>
      <w:proofErr w:type="spellEnd"/>
      <w:r w:rsidR="00143F93" w:rsidRPr="0010549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0549B">
        <w:rPr>
          <w:rFonts w:ascii="Arial" w:hAnsi="Arial" w:cs="Arial"/>
          <w:sz w:val="16"/>
          <w:szCs w:val="16"/>
          <w:lang w:val="en-US"/>
        </w:rPr>
        <w:t>Walry</w:t>
      </w:r>
      <w:proofErr w:type="spellEnd"/>
      <w:r w:rsidRPr="0010549B">
        <w:rPr>
          <w:rFonts w:ascii="Arial" w:hAnsi="Arial" w:cs="Arial"/>
          <w:sz w:val="16"/>
          <w:szCs w:val="16"/>
          <w:lang w:val="en-US"/>
        </w:rPr>
        <w:t xml:space="preserve"> (Belgium); CMS </w:t>
      </w:r>
      <w:proofErr w:type="spellStart"/>
      <w:r w:rsidRPr="0010549B">
        <w:rPr>
          <w:rFonts w:ascii="Arial" w:hAnsi="Arial" w:cs="Arial"/>
          <w:sz w:val="16"/>
          <w:szCs w:val="16"/>
          <w:lang w:val="en-US"/>
        </w:rPr>
        <w:t>Derks</w:t>
      </w:r>
      <w:proofErr w:type="spellEnd"/>
      <w:r w:rsidRPr="0010549B">
        <w:rPr>
          <w:rFonts w:ascii="Arial" w:hAnsi="Arial" w:cs="Arial"/>
          <w:sz w:val="16"/>
          <w:szCs w:val="16"/>
          <w:lang w:val="en-US"/>
        </w:rPr>
        <w:t xml:space="preserve"> Star </w:t>
      </w:r>
      <w:proofErr w:type="spellStart"/>
      <w:r w:rsidRPr="0010549B">
        <w:rPr>
          <w:rFonts w:ascii="Arial" w:hAnsi="Arial" w:cs="Arial"/>
          <w:sz w:val="16"/>
          <w:szCs w:val="16"/>
          <w:lang w:val="en-US"/>
        </w:rPr>
        <w:t>Busmann</w:t>
      </w:r>
      <w:proofErr w:type="spellEnd"/>
      <w:r w:rsidRPr="0010549B">
        <w:rPr>
          <w:rFonts w:ascii="Arial" w:hAnsi="Arial" w:cs="Arial"/>
          <w:sz w:val="16"/>
          <w:szCs w:val="16"/>
          <w:lang w:val="en-US"/>
        </w:rPr>
        <w:t xml:space="preserve"> (The Netherlands); CMS von </w:t>
      </w:r>
      <w:proofErr w:type="spellStart"/>
      <w:r w:rsidRPr="0010549B">
        <w:rPr>
          <w:rFonts w:ascii="Arial" w:hAnsi="Arial" w:cs="Arial"/>
          <w:sz w:val="16"/>
          <w:szCs w:val="16"/>
          <w:lang w:val="en-US"/>
        </w:rPr>
        <w:t>Erlach</w:t>
      </w:r>
      <w:proofErr w:type="spellEnd"/>
      <w:r w:rsidRPr="0010549B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0549B">
        <w:rPr>
          <w:rFonts w:ascii="Arial" w:hAnsi="Arial" w:cs="Arial"/>
          <w:sz w:val="16"/>
          <w:szCs w:val="16"/>
          <w:lang w:val="en-US"/>
        </w:rPr>
        <w:t>Henrici</w:t>
      </w:r>
      <w:proofErr w:type="spellEnd"/>
      <w:r w:rsidRPr="0010549B">
        <w:rPr>
          <w:rFonts w:ascii="Arial" w:hAnsi="Arial" w:cs="Arial"/>
          <w:sz w:val="16"/>
          <w:szCs w:val="16"/>
          <w:lang w:val="en-US"/>
        </w:rPr>
        <w:t xml:space="preserve"> Ltd. </w:t>
      </w:r>
      <w:r w:rsidRPr="0010549B">
        <w:rPr>
          <w:rFonts w:ascii="Arial" w:hAnsi="Arial" w:cs="Arial"/>
          <w:sz w:val="16"/>
          <w:szCs w:val="16"/>
        </w:rPr>
        <w:t>(Switzerland); CMS Hasche Sigle (Germany) and CMS Reich-Rohrwig Hainz Rechtsanwälte GmbH (Austria).</w:t>
      </w:r>
    </w:p>
    <w:p w:rsidR="003C2669" w:rsidRPr="0010549B" w:rsidRDefault="003C2669" w:rsidP="003C2669">
      <w:pPr>
        <w:ind w:right="-2"/>
        <w:rPr>
          <w:rFonts w:ascii="Arial" w:hAnsi="Arial" w:cs="Arial"/>
          <w:sz w:val="16"/>
          <w:szCs w:val="16"/>
        </w:rPr>
      </w:pPr>
    </w:p>
    <w:p w:rsidR="003C2669" w:rsidRPr="002379BF" w:rsidRDefault="003C2669" w:rsidP="003C2669">
      <w:pPr>
        <w:ind w:right="-2"/>
        <w:rPr>
          <w:rFonts w:ascii="Arial" w:hAnsi="Arial" w:cs="Arial"/>
          <w:sz w:val="16"/>
          <w:szCs w:val="16"/>
          <w:lang w:val="en-GB"/>
        </w:rPr>
      </w:pPr>
      <w:r w:rsidRPr="0010549B">
        <w:rPr>
          <w:rFonts w:ascii="Arial" w:hAnsi="Arial" w:cs="Arial"/>
          <w:b/>
          <w:sz w:val="16"/>
          <w:szCs w:val="16"/>
          <w:lang w:val="en-GB"/>
        </w:rPr>
        <w:t>CMS offices and associated offices:</w:t>
      </w:r>
      <w:r w:rsidRPr="0010549B">
        <w:rPr>
          <w:rFonts w:ascii="Arial" w:hAnsi="Arial" w:cs="Arial"/>
          <w:sz w:val="16"/>
          <w:szCs w:val="16"/>
          <w:lang w:val="en-GB"/>
        </w:rPr>
        <w:t xml:space="preserve"> Amsterdam, Berlin, Brussels, London, Madrid, Paris, Rome, Vienna, Zurich, Aberdeen, Algiers, Antwerp, Beijing, Belgrade, Bratislava, Bristol, Bucharest, Budapest, Buenos Aires, Casablanca, Cologne, Dresden, Duesseldorf, Edinburgh, Frankfurt, Hamburg, Kyiv, Leipzig, Ljubljana,</w:t>
      </w:r>
      <w:r w:rsidR="007D253D" w:rsidRPr="0010549B">
        <w:rPr>
          <w:rFonts w:ascii="Arial" w:hAnsi="Arial" w:cs="Arial"/>
          <w:sz w:val="16"/>
          <w:szCs w:val="16"/>
          <w:lang w:val="en-GB"/>
        </w:rPr>
        <w:t xml:space="preserve"> Luxembourg,</w:t>
      </w:r>
      <w:r w:rsidRPr="0010549B">
        <w:rPr>
          <w:rFonts w:ascii="Arial" w:hAnsi="Arial" w:cs="Arial"/>
          <w:sz w:val="16"/>
          <w:szCs w:val="16"/>
          <w:lang w:val="en-GB"/>
        </w:rPr>
        <w:t xml:space="preserve"> Lyon, Marbella, Milan, Montevideo, Moscow, Munich, Prague, </w:t>
      </w:r>
      <w:r w:rsidR="0005630C" w:rsidRPr="0010549B">
        <w:rPr>
          <w:rFonts w:ascii="Arial" w:hAnsi="Arial" w:cs="Arial"/>
          <w:sz w:val="16"/>
          <w:szCs w:val="16"/>
          <w:lang w:val="en-GB"/>
        </w:rPr>
        <w:t xml:space="preserve">Rio de Janeiro, </w:t>
      </w:r>
      <w:r w:rsidRPr="0010549B">
        <w:rPr>
          <w:rFonts w:ascii="Arial" w:hAnsi="Arial" w:cs="Arial"/>
          <w:sz w:val="16"/>
          <w:szCs w:val="16"/>
          <w:lang w:val="en-GB"/>
        </w:rPr>
        <w:t xml:space="preserve">Sarajevo, Seville, Shanghai, Sofia, Strasbourg, Stuttgart, </w:t>
      </w:r>
      <w:r w:rsidR="002379BF" w:rsidRPr="0010549B">
        <w:rPr>
          <w:rFonts w:ascii="Arial" w:hAnsi="Arial" w:cs="Arial"/>
          <w:sz w:val="16"/>
          <w:szCs w:val="16"/>
          <w:lang w:val="en-GB"/>
        </w:rPr>
        <w:t xml:space="preserve">Tirana, </w:t>
      </w:r>
      <w:r w:rsidRPr="0010549B">
        <w:rPr>
          <w:rFonts w:ascii="Arial" w:hAnsi="Arial" w:cs="Arial"/>
          <w:sz w:val="16"/>
          <w:szCs w:val="16"/>
          <w:lang w:val="en-GB"/>
        </w:rPr>
        <w:t>Utrecht, Warsaw and Zagreb.</w:t>
      </w:r>
    </w:p>
    <w:p w:rsidR="003E72CD" w:rsidRPr="002379BF" w:rsidRDefault="003E72CD" w:rsidP="003C2669">
      <w:pPr>
        <w:ind w:right="-2"/>
        <w:rPr>
          <w:rFonts w:ascii="Arial" w:hAnsi="Arial" w:cs="Arial"/>
          <w:sz w:val="16"/>
          <w:szCs w:val="16"/>
          <w:lang w:val="en-GB"/>
        </w:rPr>
      </w:pPr>
    </w:p>
    <w:sectPr w:rsidR="003E72CD" w:rsidRPr="002379BF" w:rsidSect="008C02DD">
      <w:headerReference w:type="default" r:id="rId9"/>
      <w:headerReference w:type="first" r:id="rId10"/>
      <w:footerReference w:type="first" r:id="rId11"/>
      <w:pgSz w:w="11906" w:h="16838" w:code="9"/>
      <w:pgMar w:top="1134" w:right="1134" w:bottom="1418" w:left="1418" w:header="102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9B" w:rsidRDefault="0010549B">
      <w:r>
        <w:separator/>
      </w:r>
    </w:p>
  </w:endnote>
  <w:endnote w:type="continuationSeparator" w:id="0">
    <w:p w:rsidR="0010549B" w:rsidRDefault="0010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Pr="00493096" w:rsidRDefault="001775D4" w:rsidP="00493096">
    <w:pPr>
      <w:spacing w:line="200" w:lineRule="exact"/>
      <w:rPr>
        <w:rStyle w:val="Third"/>
        <w:rFonts w:ascii="Arial Narrow" w:hAnsi="Arial Narrow"/>
        <w:b/>
        <w:bCs/>
        <w:color w:val="00478F"/>
        <w:lang w:val="nl-BE"/>
      </w:rPr>
    </w:pPr>
    <w:smartTag w:uri="urn:schemas-microsoft-com:office:smarttags" w:element="PersonName">
      <w:r>
        <w:rPr>
          <w:rStyle w:val="Third"/>
          <w:rFonts w:ascii="Arial Narrow" w:hAnsi="Arial Narrow"/>
          <w:b/>
          <w:bCs/>
          <w:color w:val="00478F"/>
          <w:lang w:val="nl-BE"/>
        </w:rPr>
        <w:t>CMS R</w:t>
      </w:r>
      <w:r w:rsidRPr="00493096">
        <w:rPr>
          <w:rStyle w:val="Third"/>
          <w:rFonts w:ascii="Arial Narrow" w:hAnsi="Arial Narrow"/>
          <w:b/>
          <w:bCs/>
          <w:color w:val="00478F"/>
          <w:lang w:val="nl-BE"/>
        </w:rPr>
        <w:t>eich-Rohrwig Hainz</w:t>
      </w:r>
    </w:smartTag>
    <w:r w:rsidRPr="00493096">
      <w:rPr>
        <w:rStyle w:val="Third"/>
        <w:rFonts w:ascii="Arial Narrow" w:hAnsi="Arial Narrow"/>
        <w:b/>
        <w:bCs/>
        <w:color w:val="00478F"/>
        <w:lang w:val="nl-BE"/>
      </w:rPr>
      <w:t xml:space="preserve">: </w:t>
    </w:r>
    <w:r w:rsidRPr="00493096">
      <w:rPr>
        <w:rStyle w:val="Third"/>
        <w:rFonts w:ascii="Arial Narrow" w:hAnsi="Arial Narrow"/>
        <w:b/>
        <w:bCs/>
        <w:lang w:val="nl-BE"/>
      </w:rPr>
      <w:t xml:space="preserve">Vienna, Belgrade, Bratislava, Brussels, </w:t>
    </w:r>
    <w:r>
      <w:rPr>
        <w:rStyle w:val="Third"/>
        <w:rFonts w:ascii="Arial Narrow" w:hAnsi="Arial Narrow"/>
        <w:b/>
        <w:bCs/>
        <w:lang w:val="nl-BE"/>
      </w:rPr>
      <w:t xml:space="preserve">Kyiv, Ljubljana, Sarajevo, </w:t>
    </w:r>
    <w:r w:rsidRPr="00493096">
      <w:rPr>
        <w:rStyle w:val="Third"/>
        <w:rFonts w:ascii="Arial Narrow" w:hAnsi="Arial Narrow"/>
        <w:b/>
        <w:bCs/>
        <w:lang w:val="nl-BE"/>
      </w:rPr>
      <w:t>Sofia, Zagreb</w:t>
    </w:r>
  </w:p>
  <w:p w:rsidR="001775D4" w:rsidRPr="00493096" w:rsidRDefault="001775D4" w:rsidP="00493096">
    <w:pPr>
      <w:pStyle w:val="Randunten2"/>
      <w:tabs>
        <w:tab w:val="left" w:pos="705"/>
        <w:tab w:val="left" w:pos="6165"/>
      </w:tabs>
      <w:spacing w:line="120" w:lineRule="exact"/>
      <w:ind w:left="0" w:right="0"/>
      <w:jc w:val="left"/>
      <w:rPr>
        <w:rFonts w:ascii="Arial Narrow" w:hAnsi="Arial Narrow"/>
        <w:caps w:val="0"/>
        <w:color w:val="000000"/>
        <w:spacing w:val="0"/>
        <w:sz w:val="10"/>
        <w:szCs w:val="10"/>
        <w:lang w:val="nl-BE"/>
      </w:rPr>
    </w:pPr>
  </w:p>
  <w:p w:rsidR="001775D4" w:rsidRPr="00FC7E04" w:rsidRDefault="001775D4" w:rsidP="00A44F8F">
    <w:pPr>
      <w:pStyle w:val="Fuzeile"/>
      <w:spacing w:line="200" w:lineRule="exact"/>
      <w:rPr>
        <w:rStyle w:val="Third"/>
        <w:rFonts w:ascii="Arial Narrow" w:hAnsi="Arial Narrow"/>
        <w:bCs/>
        <w:noProof/>
        <w:lang w:val="nl-BE"/>
      </w:rPr>
    </w:pPr>
    <w:r w:rsidRPr="00493096">
      <w:rPr>
        <w:rFonts w:ascii="Arial Narrow" w:hAnsi="Arial Narrow"/>
        <w:color w:val="00478F"/>
        <w:sz w:val="13"/>
        <w:lang w:val="nl-BE"/>
      </w:rPr>
      <w:t xml:space="preserve">CMS Reich-Rohrwig Hainz </w:t>
    </w:r>
    <w:r w:rsidRPr="00493096">
      <w:rPr>
        <w:rFonts w:ascii="Arial Narrow" w:hAnsi="Arial Narrow"/>
        <w:sz w:val="13"/>
        <w:lang w:val="nl-BE"/>
      </w:rPr>
      <w:t>is a member of</w:t>
    </w:r>
    <w:r w:rsidRPr="00493096">
      <w:rPr>
        <w:rFonts w:ascii="Arial Narrow" w:hAnsi="Arial Narrow"/>
        <w:color w:val="00478F"/>
        <w:sz w:val="13"/>
        <w:lang w:val="nl-BE"/>
      </w:rPr>
      <w:t xml:space="preserve"> </w:t>
    </w:r>
    <w:r w:rsidRPr="00493096">
      <w:rPr>
        <w:rStyle w:val="Third"/>
        <w:rFonts w:ascii="Arial Narrow" w:hAnsi="Arial Narrow"/>
        <w:bCs/>
        <w:color w:val="00478F"/>
        <w:lang w:val="nl-BE"/>
      </w:rPr>
      <w:t>CMS</w:t>
    </w:r>
    <w:r w:rsidRPr="00493096">
      <w:rPr>
        <w:rFonts w:ascii="Arial Narrow" w:hAnsi="Arial Narrow"/>
        <w:color w:val="000000"/>
        <w:sz w:val="13"/>
        <w:lang w:val="nl-BE"/>
      </w:rPr>
      <w:t xml:space="preserve">, the </w:t>
    </w:r>
    <w:r>
      <w:rPr>
        <w:rFonts w:ascii="Arial Narrow" w:hAnsi="Arial Narrow"/>
        <w:color w:val="000000"/>
        <w:sz w:val="13"/>
        <w:lang w:val="nl-BE"/>
      </w:rPr>
      <w:t>organisation</w:t>
    </w:r>
    <w:r w:rsidRPr="00493096">
      <w:rPr>
        <w:rFonts w:ascii="Arial Narrow" w:hAnsi="Arial Narrow"/>
        <w:color w:val="000000"/>
        <w:sz w:val="13"/>
        <w:lang w:val="nl-BE"/>
      </w:rPr>
      <w:t xml:space="preserve"> of major European law firms: </w:t>
    </w:r>
    <w:r w:rsidRPr="00762601">
      <w:rPr>
        <w:rStyle w:val="Third"/>
        <w:rFonts w:ascii="Arial Narrow" w:hAnsi="Arial Narrow"/>
        <w:bCs/>
        <w:lang w:val="nl-BE"/>
      </w:rPr>
      <w:t xml:space="preserve">Aberdeen, Algiers, Amsterdam, Antwerp, Beijing, Belgrade, Berlin, Bratislava, Bristol, Brussels, Bucharest, Budapest, Buenos Aires, Casablanca, Cologne, Dresden, Dusseldorf, Edinburgh, Frankfurt, Hamburg, Kyiv, Leipzig, Ljubljana, London, </w:t>
    </w:r>
    <w:r>
      <w:rPr>
        <w:rStyle w:val="Third"/>
        <w:rFonts w:ascii="Arial Narrow" w:hAnsi="Arial Narrow"/>
        <w:bCs/>
        <w:lang w:val="nl-BE"/>
      </w:rPr>
      <w:t xml:space="preserve">Luxembourg, </w:t>
    </w:r>
    <w:r w:rsidRPr="00762601">
      <w:rPr>
        <w:rStyle w:val="Third"/>
        <w:rFonts w:ascii="Arial Narrow" w:hAnsi="Arial Narrow"/>
        <w:bCs/>
        <w:lang w:val="nl-BE"/>
      </w:rPr>
      <w:t xml:space="preserve">Lyon, Madrid, Marbella, Milan, Montevideo, Moscow, Munich, New York, Paris, Prague, Rome, </w:t>
    </w:r>
    <w:r w:rsidR="0005630C">
      <w:rPr>
        <w:rStyle w:val="Third"/>
        <w:rFonts w:ascii="Arial Narrow" w:hAnsi="Arial Narrow"/>
        <w:bCs/>
        <w:lang w:val="nl-BE"/>
      </w:rPr>
      <w:t>Rio de Janeiro</w:t>
    </w:r>
    <w:r w:rsidRPr="00762601">
      <w:rPr>
        <w:rStyle w:val="Third"/>
        <w:rFonts w:ascii="Arial Narrow" w:hAnsi="Arial Narrow"/>
        <w:bCs/>
        <w:lang w:val="nl-BE"/>
      </w:rPr>
      <w:t>, Sarajevo, Seville, Shanghai, Sofia, Strasbourg, Stuttgart, Utrecht, Vienna, Warsaw, Zagreb, Zurich.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9B" w:rsidRDefault="0010549B">
      <w:r>
        <w:separator/>
      </w:r>
    </w:p>
  </w:footnote>
  <w:footnote w:type="continuationSeparator" w:id="0">
    <w:p w:rsidR="0010549B" w:rsidRDefault="0010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  <w:r>
      <w:rPr>
        <w:rStyle w:val="Seitenzahl"/>
        <w:sz w:val="22"/>
      </w:rPr>
      <w:tab/>
    </w:r>
    <w:r>
      <w:rPr>
        <w:noProof/>
        <w:lang w:eastAsia="de-AT"/>
      </w:rPr>
      <w:drawing>
        <wp:inline distT="0" distB="0" distL="0" distR="0" wp14:anchorId="39063BA3" wp14:editId="3F2AB7B4">
          <wp:extent cx="1771650" cy="171450"/>
          <wp:effectExtent l="0" t="0" r="0" b="0"/>
          <wp:docPr id="1" name="Bild 1" descr="blau_weiss_JPG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u_weiss_JPG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sz w:val="22"/>
      </w:rP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10549B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</w:p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Pr="005E7F5F" w:rsidRDefault="00D76FE2" w:rsidP="00D76FE2">
    <w:pPr>
      <w:pStyle w:val="Kopfzeile"/>
      <w:jc w:val="right"/>
      <w:rPr>
        <w:rFonts w:ascii="Arial" w:hAnsi="Arial"/>
        <w:sz w:val="13"/>
      </w:rPr>
    </w:pPr>
    <w:r>
      <w:rPr>
        <w:noProof/>
        <w:lang w:eastAsia="de-AT"/>
      </w:rPr>
      <w:drawing>
        <wp:inline distT="0" distB="0" distL="0" distR="0" wp14:anchorId="565AAC2D" wp14:editId="6F8C0F04">
          <wp:extent cx="1009650" cy="59580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SLawTa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866" cy="598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3A6"/>
    <w:multiLevelType w:val="hybridMultilevel"/>
    <w:tmpl w:val="96A82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0075"/>
    <w:multiLevelType w:val="multilevel"/>
    <w:tmpl w:val="3C84FDEE"/>
    <w:styleLink w:val="CMS-Dash"/>
    <w:lvl w:ilvl="0">
      <w:start w:val="1"/>
      <w:numFmt w:val="bullet"/>
      <w:pStyle w:val="CMSDash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381"/>
        </w:tabs>
        <w:ind w:left="2381" w:hanging="396"/>
      </w:pPr>
      <w:rPr>
        <w:rFonts w:ascii="Arial" w:hAnsi="Arial" w:cs="Arial" w:hint="default"/>
      </w:rPr>
    </w:lvl>
    <w:lvl w:ilvl="5">
      <w:start w:val="1"/>
      <w:numFmt w:val="bullet"/>
      <w:lvlText w:val="-"/>
      <w:lvlJc w:val="left"/>
      <w:pPr>
        <w:tabs>
          <w:tab w:val="num" w:pos="2722"/>
        </w:tabs>
        <w:ind w:left="2722" w:hanging="341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</w:abstractNum>
  <w:abstractNum w:abstractNumId="2">
    <w:nsid w:val="776B0C3C"/>
    <w:multiLevelType w:val="hybridMultilevel"/>
    <w:tmpl w:val="13C823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9B"/>
    <w:rsid w:val="00002B33"/>
    <w:rsid w:val="00015F2D"/>
    <w:rsid w:val="00023B59"/>
    <w:rsid w:val="0004226C"/>
    <w:rsid w:val="00045898"/>
    <w:rsid w:val="00050F4D"/>
    <w:rsid w:val="000515F8"/>
    <w:rsid w:val="0005630C"/>
    <w:rsid w:val="0006414F"/>
    <w:rsid w:val="00073B99"/>
    <w:rsid w:val="00091005"/>
    <w:rsid w:val="000A5136"/>
    <w:rsid w:val="000C7256"/>
    <w:rsid w:val="000D1005"/>
    <w:rsid w:val="000D100D"/>
    <w:rsid w:val="000E4972"/>
    <w:rsid w:val="000F4E48"/>
    <w:rsid w:val="000F6236"/>
    <w:rsid w:val="0010188B"/>
    <w:rsid w:val="001047E1"/>
    <w:rsid w:val="0010549B"/>
    <w:rsid w:val="0013322C"/>
    <w:rsid w:val="001335B9"/>
    <w:rsid w:val="00137E9D"/>
    <w:rsid w:val="00143F93"/>
    <w:rsid w:val="00147ABE"/>
    <w:rsid w:val="00147D48"/>
    <w:rsid w:val="001502A5"/>
    <w:rsid w:val="00166689"/>
    <w:rsid w:val="00175D55"/>
    <w:rsid w:val="001775D4"/>
    <w:rsid w:val="001809DD"/>
    <w:rsid w:val="0018174F"/>
    <w:rsid w:val="00194BE5"/>
    <w:rsid w:val="001B3B15"/>
    <w:rsid w:val="001B789B"/>
    <w:rsid w:val="001E2352"/>
    <w:rsid w:val="001F0EA3"/>
    <w:rsid w:val="0021662D"/>
    <w:rsid w:val="002230A9"/>
    <w:rsid w:val="002379BF"/>
    <w:rsid w:val="0024304B"/>
    <w:rsid w:val="0024649C"/>
    <w:rsid w:val="002544C3"/>
    <w:rsid w:val="00272E4C"/>
    <w:rsid w:val="00283B8C"/>
    <w:rsid w:val="002A445D"/>
    <w:rsid w:val="002B5E0E"/>
    <w:rsid w:val="002C2CC6"/>
    <w:rsid w:val="002E6F32"/>
    <w:rsid w:val="002E7410"/>
    <w:rsid w:val="002F423A"/>
    <w:rsid w:val="00324661"/>
    <w:rsid w:val="003248E0"/>
    <w:rsid w:val="00337295"/>
    <w:rsid w:val="00345B7E"/>
    <w:rsid w:val="0035043B"/>
    <w:rsid w:val="00355C08"/>
    <w:rsid w:val="0036690A"/>
    <w:rsid w:val="0037433E"/>
    <w:rsid w:val="00374609"/>
    <w:rsid w:val="003A06ED"/>
    <w:rsid w:val="003B0014"/>
    <w:rsid w:val="003C0088"/>
    <w:rsid w:val="003C2669"/>
    <w:rsid w:val="003C7A70"/>
    <w:rsid w:val="003C7CAE"/>
    <w:rsid w:val="003D5025"/>
    <w:rsid w:val="003E2442"/>
    <w:rsid w:val="003E72CD"/>
    <w:rsid w:val="003E7838"/>
    <w:rsid w:val="003F1DC4"/>
    <w:rsid w:val="003F26BA"/>
    <w:rsid w:val="00401A38"/>
    <w:rsid w:val="00407A24"/>
    <w:rsid w:val="004216D0"/>
    <w:rsid w:val="0042488B"/>
    <w:rsid w:val="0043099B"/>
    <w:rsid w:val="00441CFE"/>
    <w:rsid w:val="0044731D"/>
    <w:rsid w:val="00452051"/>
    <w:rsid w:val="00462B02"/>
    <w:rsid w:val="004645CE"/>
    <w:rsid w:val="00493096"/>
    <w:rsid w:val="00496B32"/>
    <w:rsid w:val="004A7CD9"/>
    <w:rsid w:val="004C155F"/>
    <w:rsid w:val="004C4A29"/>
    <w:rsid w:val="004D1844"/>
    <w:rsid w:val="004E51EB"/>
    <w:rsid w:val="00530044"/>
    <w:rsid w:val="0053460B"/>
    <w:rsid w:val="005348CD"/>
    <w:rsid w:val="00547A15"/>
    <w:rsid w:val="00552DB1"/>
    <w:rsid w:val="00553C34"/>
    <w:rsid w:val="00564FA0"/>
    <w:rsid w:val="005726B5"/>
    <w:rsid w:val="00572C18"/>
    <w:rsid w:val="00590C5E"/>
    <w:rsid w:val="00594306"/>
    <w:rsid w:val="00596976"/>
    <w:rsid w:val="005C4AA2"/>
    <w:rsid w:val="005D1542"/>
    <w:rsid w:val="005D3DC1"/>
    <w:rsid w:val="005E7F5F"/>
    <w:rsid w:val="005F0B60"/>
    <w:rsid w:val="005F41E6"/>
    <w:rsid w:val="005F4ECE"/>
    <w:rsid w:val="006040C9"/>
    <w:rsid w:val="00604FA0"/>
    <w:rsid w:val="00626243"/>
    <w:rsid w:val="00631E5F"/>
    <w:rsid w:val="0063562B"/>
    <w:rsid w:val="00642649"/>
    <w:rsid w:val="006455EF"/>
    <w:rsid w:val="006474AF"/>
    <w:rsid w:val="00656027"/>
    <w:rsid w:val="00664B40"/>
    <w:rsid w:val="00665FE3"/>
    <w:rsid w:val="00696E9D"/>
    <w:rsid w:val="006A6BED"/>
    <w:rsid w:val="006B28B0"/>
    <w:rsid w:val="006C09B0"/>
    <w:rsid w:val="006C6EE7"/>
    <w:rsid w:val="007021CD"/>
    <w:rsid w:val="0070220A"/>
    <w:rsid w:val="007171E2"/>
    <w:rsid w:val="00720281"/>
    <w:rsid w:val="007213C4"/>
    <w:rsid w:val="00737505"/>
    <w:rsid w:val="00742AEC"/>
    <w:rsid w:val="007522FA"/>
    <w:rsid w:val="00762601"/>
    <w:rsid w:val="00765111"/>
    <w:rsid w:val="00773A82"/>
    <w:rsid w:val="007762D7"/>
    <w:rsid w:val="00783624"/>
    <w:rsid w:val="00786FDA"/>
    <w:rsid w:val="007934F5"/>
    <w:rsid w:val="00794E44"/>
    <w:rsid w:val="007A4535"/>
    <w:rsid w:val="007A47A8"/>
    <w:rsid w:val="007B1467"/>
    <w:rsid w:val="007B64F1"/>
    <w:rsid w:val="007D253D"/>
    <w:rsid w:val="007D6093"/>
    <w:rsid w:val="00800DCF"/>
    <w:rsid w:val="00803408"/>
    <w:rsid w:val="00810100"/>
    <w:rsid w:val="0082058D"/>
    <w:rsid w:val="008225E6"/>
    <w:rsid w:val="008231D6"/>
    <w:rsid w:val="00823891"/>
    <w:rsid w:val="00824A2D"/>
    <w:rsid w:val="00851C61"/>
    <w:rsid w:val="00852988"/>
    <w:rsid w:val="00863BB0"/>
    <w:rsid w:val="0087453E"/>
    <w:rsid w:val="0088444B"/>
    <w:rsid w:val="008907E1"/>
    <w:rsid w:val="0089262D"/>
    <w:rsid w:val="008B3B44"/>
    <w:rsid w:val="008B6FA2"/>
    <w:rsid w:val="008C02DD"/>
    <w:rsid w:val="008C0798"/>
    <w:rsid w:val="008C1A95"/>
    <w:rsid w:val="008C5BD2"/>
    <w:rsid w:val="008E20AE"/>
    <w:rsid w:val="008E32AB"/>
    <w:rsid w:val="009163CE"/>
    <w:rsid w:val="00940F5E"/>
    <w:rsid w:val="00942D95"/>
    <w:rsid w:val="009475F9"/>
    <w:rsid w:val="009516DF"/>
    <w:rsid w:val="00951C3A"/>
    <w:rsid w:val="00956FD0"/>
    <w:rsid w:val="00961EDB"/>
    <w:rsid w:val="009652E8"/>
    <w:rsid w:val="009714DB"/>
    <w:rsid w:val="00973854"/>
    <w:rsid w:val="0098419C"/>
    <w:rsid w:val="009A0150"/>
    <w:rsid w:val="009B3A64"/>
    <w:rsid w:val="009C676A"/>
    <w:rsid w:val="009D2602"/>
    <w:rsid w:val="009E5FE9"/>
    <w:rsid w:val="009E7E59"/>
    <w:rsid w:val="009F7E59"/>
    <w:rsid w:val="00A02E9A"/>
    <w:rsid w:val="00A11E33"/>
    <w:rsid w:val="00A17CFC"/>
    <w:rsid w:val="00A27C5A"/>
    <w:rsid w:val="00A3004D"/>
    <w:rsid w:val="00A3416E"/>
    <w:rsid w:val="00A44A17"/>
    <w:rsid w:val="00A44F8F"/>
    <w:rsid w:val="00A60122"/>
    <w:rsid w:val="00A67C26"/>
    <w:rsid w:val="00A71962"/>
    <w:rsid w:val="00A82ED7"/>
    <w:rsid w:val="00A878AF"/>
    <w:rsid w:val="00A964B9"/>
    <w:rsid w:val="00AA0940"/>
    <w:rsid w:val="00AB656C"/>
    <w:rsid w:val="00AC0FE4"/>
    <w:rsid w:val="00AC245D"/>
    <w:rsid w:val="00AC58DD"/>
    <w:rsid w:val="00AC71EC"/>
    <w:rsid w:val="00AE4BAF"/>
    <w:rsid w:val="00AE50F9"/>
    <w:rsid w:val="00B0078B"/>
    <w:rsid w:val="00B03958"/>
    <w:rsid w:val="00B051CF"/>
    <w:rsid w:val="00B11D7E"/>
    <w:rsid w:val="00B61E6E"/>
    <w:rsid w:val="00B65879"/>
    <w:rsid w:val="00B7145E"/>
    <w:rsid w:val="00B71600"/>
    <w:rsid w:val="00B75B07"/>
    <w:rsid w:val="00B845FD"/>
    <w:rsid w:val="00B90FEA"/>
    <w:rsid w:val="00B918CB"/>
    <w:rsid w:val="00B947BC"/>
    <w:rsid w:val="00B968AB"/>
    <w:rsid w:val="00BA4FFE"/>
    <w:rsid w:val="00BB0F7E"/>
    <w:rsid w:val="00BC3F49"/>
    <w:rsid w:val="00BE5469"/>
    <w:rsid w:val="00BE5E72"/>
    <w:rsid w:val="00BF3E68"/>
    <w:rsid w:val="00C01FC1"/>
    <w:rsid w:val="00C027C8"/>
    <w:rsid w:val="00C05718"/>
    <w:rsid w:val="00C15923"/>
    <w:rsid w:val="00C20138"/>
    <w:rsid w:val="00C2224E"/>
    <w:rsid w:val="00C30582"/>
    <w:rsid w:val="00C42A75"/>
    <w:rsid w:val="00C4555E"/>
    <w:rsid w:val="00C474C2"/>
    <w:rsid w:val="00C5040B"/>
    <w:rsid w:val="00C51766"/>
    <w:rsid w:val="00C52F8F"/>
    <w:rsid w:val="00C615CC"/>
    <w:rsid w:val="00C67DB2"/>
    <w:rsid w:val="00C743FB"/>
    <w:rsid w:val="00C763D8"/>
    <w:rsid w:val="00C80C38"/>
    <w:rsid w:val="00C85664"/>
    <w:rsid w:val="00C8763F"/>
    <w:rsid w:val="00CA126B"/>
    <w:rsid w:val="00CA1FA5"/>
    <w:rsid w:val="00CB026C"/>
    <w:rsid w:val="00CD0F01"/>
    <w:rsid w:val="00CD4198"/>
    <w:rsid w:val="00CD7E19"/>
    <w:rsid w:val="00CE193E"/>
    <w:rsid w:val="00CF10AF"/>
    <w:rsid w:val="00D072EC"/>
    <w:rsid w:val="00D074F4"/>
    <w:rsid w:val="00D1163C"/>
    <w:rsid w:val="00D17203"/>
    <w:rsid w:val="00D35472"/>
    <w:rsid w:val="00D36E85"/>
    <w:rsid w:val="00D40729"/>
    <w:rsid w:val="00D40756"/>
    <w:rsid w:val="00D57108"/>
    <w:rsid w:val="00D57A03"/>
    <w:rsid w:val="00D63258"/>
    <w:rsid w:val="00D76FE2"/>
    <w:rsid w:val="00D8203B"/>
    <w:rsid w:val="00D906D5"/>
    <w:rsid w:val="00D9163B"/>
    <w:rsid w:val="00D91719"/>
    <w:rsid w:val="00DD1F01"/>
    <w:rsid w:val="00DE18C9"/>
    <w:rsid w:val="00DE2F13"/>
    <w:rsid w:val="00DF12A6"/>
    <w:rsid w:val="00DF3974"/>
    <w:rsid w:val="00DF7528"/>
    <w:rsid w:val="00E03151"/>
    <w:rsid w:val="00E0537D"/>
    <w:rsid w:val="00E05A3C"/>
    <w:rsid w:val="00E1039E"/>
    <w:rsid w:val="00E31F9B"/>
    <w:rsid w:val="00E32462"/>
    <w:rsid w:val="00E334C9"/>
    <w:rsid w:val="00E336C1"/>
    <w:rsid w:val="00E460F0"/>
    <w:rsid w:val="00E51306"/>
    <w:rsid w:val="00E55630"/>
    <w:rsid w:val="00E62F03"/>
    <w:rsid w:val="00E70B13"/>
    <w:rsid w:val="00E8465A"/>
    <w:rsid w:val="00E85520"/>
    <w:rsid w:val="00EB737C"/>
    <w:rsid w:val="00EC539A"/>
    <w:rsid w:val="00ED1D20"/>
    <w:rsid w:val="00F02333"/>
    <w:rsid w:val="00F1414F"/>
    <w:rsid w:val="00F21953"/>
    <w:rsid w:val="00F34284"/>
    <w:rsid w:val="00F521B1"/>
    <w:rsid w:val="00F7013D"/>
    <w:rsid w:val="00F84D18"/>
    <w:rsid w:val="00F9025C"/>
    <w:rsid w:val="00F9243D"/>
    <w:rsid w:val="00F948C4"/>
    <w:rsid w:val="00F95057"/>
    <w:rsid w:val="00FA1478"/>
    <w:rsid w:val="00FA4586"/>
    <w:rsid w:val="00FB3782"/>
    <w:rsid w:val="00FC7E04"/>
    <w:rsid w:val="00FD11A0"/>
    <w:rsid w:val="00FD3858"/>
    <w:rsid w:val="00FD4A7D"/>
    <w:rsid w:val="00FE2FB6"/>
    <w:rsid w:val="00FE6A42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  <w:style w:type="paragraph" w:customStyle="1" w:styleId="CMSIndent2">
    <w:name w:val="CMS Indent 2"/>
    <w:basedOn w:val="Standard"/>
    <w:rsid w:val="0010549B"/>
    <w:pPr>
      <w:adjustRightInd w:val="0"/>
      <w:snapToGrid w:val="0"/>
      <w:spacing w:before="120" w:after="120" w:line="340" w:lineRule="atLeast"/>
      <w:ind w:left="567"/>
      <w:jc w:val="left"/>
    </w:pPr>
    <w:rPr>
      <w:rFonts w:ascii="Calibri" w:eastAsia="MS Mincho" w:hAnsi="Calibri" w:cs="Calibri"/>
      <w:sz w:val="24"/>
      <w:szCs w:val="24"/>
      <w:lang w:val="de-DE" w:eastAsia="ja-JP"/>
    </w:rPr>
  </w:style>
  <w:style w:type="paragraph" w:customStyle="1" w:styleId="CMSDash">
    <w:name w:val="CMS Dash"/>
    <w:basedOn w:val="Standard"/>
    <w:rsid w:val="0010549B"/>
    <w:pPr>
      <w:numPr>
        <w:numId w:val="2"/>
      </w:numPr>
      <w:adjustRightInd w:val="0"/>
      <w:snapToGrid w:val="0"/>
      <w:spacing w:after="120" w:line="340" w:lineRule="atLeast"/>
      <w:jc w:val="left"/>
    </w:pPr>
    <w:rPr>
      <w:rFonts w:ascii="Calibri" w:eastAsia="MS Mincho" w:hAnsi="Calibri" w:cs="Calibri"/>
      <w:sz w:val="24"/>
      <w:szCs w:val="24"/>
      <w:lang w:val="de-DE" w:eastAsia="ja-JP"/>
    </w:rPr>
  </w:style>
  <w:style w:type="paragraph" w:customStyle="1" w:styleId="ListParagraph">
    <w:name w:val="List Paragraph"/>
    <w:basedOn w:val="Standard"/>
    <w:rsid w:val="0010549B"/>
    <w:pPr>
      <w:ind w:left="720"/>
      <w:jc w:val="left"/>
    </w:pPr>
    <w:rPr>
      <w:rFonts w:ascii="Calibri" w:eastAsia="MS Mincho" w:hAnsi="Calibri" w:cs="Calibri"/>
      <w:sz w:val="22"/>
      <w:szCs w:val="22"/>
      <w:lang w:eastAsia="ja-JP"/>
    </w:rPr>
  </w:style>
  <w:style w:type="numbering" w:customStyle="1" w:styleId="CMS-Dash">
    <w:name w:val="CMS-Dash"/>
    <w:rsid w:val="0010549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  <w:style w:type="paragraph" w:customStyle="1" w:styleId="CMSIndent2">
    <w:name w:val="CMS Indent 2"/>
    <w:basedOn w:val="Standard"/>
    <w:rsid w:val="0010549B"/>
    <w:pPr>
      <w:adjustRightInd w:val="0"/>
      <w:snapToGrid w:val="0"/>
      <w:spacing w:before="120" w:after="120" w:line="340" w:lineRule="atLeast"/>
      <w:ind w:left="567"/>
      <w:jc w:val="left"/>
    </w:pPr>
    <w:rPr>
      <w:rFonts w:ascii="Calibri" w:eastAsia="MS Mincho" w:hAnsi="Calibri" w:cs="Calibri"/>
      <w:sz w:val="24"/>
      <w:szCs w:val="24"/>
      <w:lang w:val="de-DE" w:eastAsia="ja-JP"/>
    </w:rPr>
  </w:style>
  <w:style w:type="paragraph" w:customStyle="1" w:styleId="CMSDash">
    <w:name w:val="CMS Dash"/>
    <w:basedOn w:val="Standard"/>
    <w:rsid w:val="0010549B"/>
    <w:pPr>
      <w:numPr>
        <w:numId w:val="2"/>
      </w:numPr>
      <w:adjustRightInd w:val="0"/>
      <w:snapToGrid w:val="0"/>
      <w:spacing w:after="120" w:line="340" w:lineRule="atLeast"/>
      <w:jc w:val="left"/>
    </w:pPr>
    <w:rPr>
      <w:rFonts w:ascii="Calibri" w:eastAsia="MS Mincho" w:hAnsi="Calibri" w:cs="Calibri"/>
      <w:sz w:val="24"/>
      <w:szCs w:val="24"/>
      <w:lang w:val="de-DE" w:eastAsia="ja-JP"/>
    </w:rPr>
  </w:style>
  <w:style w:type="paragraph" w:customStyle="1" w:styleId="ListParagraph">
    <w:name w:val="List Paragraph"/>
    <w:basedOn w:val="Standard"/>
    <w:rsid w:val="0010549B"/>
    <w:pPr>
      <w:ind w:left="720"/>
      <w:jc w:val="left"/>
    </w:pPr>
    <w:rPr>
      <w:rFonts w:ascii="Calibri" w:eastAsia="MS Mincho" w:hAnsi="Calibri" w:cs="Calibri"/>
      <w:sz w:val="22"/>
      <w:szCs w:val="22"/>
      <w:lang w:eastAsia="ja-JP"/>
    </w:rPr>
  </w:style>
  <w:style w:type="numbering" w:customStyle="1" w:styleId="CMS-Dash">
    <w:name w:val="CMS-Dash"/>
    <w:rsid w:val="0010549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jana.lastro@cms-rr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page\www.cms-rrh.com\sharepoint_server\pressrelease\_PR_CMSRRH_Name_EN_Dat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_PR_CMSRRH_Name_EN_Datum</Template>
  <TotalTime>0</TotalTime>
  <Pages>3</Pages>
  <Words>1033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CMS Reich-Rohrwig Hainz Rechtsanwälte GmbH</Company>
  <LinksUpToDate>false</LinksUpToDate>
  <CharactersWithSpaces>7533</CharactersWithSpaces>
  <SharedDoc>false</SharedDoc>
  <HLinks>
    <vt:vector size="12" baseType="variant">
      <vt:variant>
        <vt:i4>4194428</vt:i4>
      </vt:variant>
      <vt:variant>
        <vt:i4>3</vt:i4>
      </vt:variant>
      <vt:variant>
        <vt:i4>0</vt:i4>
      </vt:variant>
      <vt:variant>
        <vt:i4>5</vt:i4>
      </vt:variant>
      <vt:variant>
        <vt:lpwstr>mailto:kristijana.lastro@cms-rrh.com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http://sites.cms-rrh.com/downloads/huber+petrikic.zip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Christoph Breitenecker</dc:creator>
  <cp:lastModifiedBy>Christoph Breitenecker</cp:lastModifiedBy>
  <cp:revision>1</cp:revision>
  <cp:lastPrinted>2006-09-04T11:12:00Z</cp:lastPrinted>
  <dcterms:created xsi:type="dcterms:W3CDTF">2011-11-28T10:15:00Z</dcterms:created>
  <dcterms:modified xsi:type="dcterms:W3CDTF">2011-11-28T10:17:00Z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-1791813218</vt:i4>
  </property>
  <property fmtid="{D5CDD505-2E9C-101B-9397-08002B2CF9AE}" pid="3" name="_EmailSubject">
    <vt:lpwstr>MP Pressemitteilung</vt:lpwstr>
  </property>
  <property fmtid="{D5CDD505-2E9C-101B-9397-08002B2CF9AE}" pid="4" name="_AuthorEmail">
    <vt:lpwstr>Kristijana.Lastro@cms-rrh.com</vt:lpwstr>
  </property>
  <property fmtid="{D5CDD505-2E9C-101B-9397-08002B2CF9AE}" pid="5" name="_AuthorEmailDisplayName">
    <vt:lpwstr>Lastro Kristijana</vt:lpwstr>
  </property>
  <property fmtid="{D5CDD505-2E9C-101B-9397-08002B2CF9AE}" pid="6" name="_ReviewingToolsShownOnce">
    <vt:lpwstr/>
  </property>
</Properties>
</file>