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B3EC1" w:rsidRPr="00CB3EC1" w:rsidRDefault="00CB3EC1" w:rsidP="00CB3EC1">
      <w:pPr>
        <w:ind w:right="-2"/>
        <w:rPr>
          <w:rFonts w:ascii="Arial" w:hAnsi="Arial"/>
          <w:sz w:val="20"/>
          <w:lang w:val="en-GB"/>
        </w:rPr>
      </w:pPr>
      <w:r w:rsidRPr="00CB3EC1">
        <w:rPr>
          <w:rFonts w:ascii="Arial" w:hAnsi="Arial"/>
          <w:sz w:val="20"/>
          <w:lang w:val="en-GB"/>
        </w:rPr>
        <w:t>Vienna, 3 March 2011</w:t>
      </w:r>
    </w:p>
    <w:p w:rsidR="00CB3EC1" w:rsidRPr="00CB3EC1" w:rsidRDefault="00CB3EC1" w:rsidP="00CB3EC1">
      <w:pPr>
        <w:ind w:right="-2"/>
        <w:rPr>
          <w:sz w:val="20"/>
          <w:lang w:val="en-GB"/>
        </w:rPr>
      </w:pPr>
    </w:p>
    <w:p w:rsidR="00CB3EC1" w:rsidRPr="00CB3EC1" w:rsidRDefault="00CB3EC1" w:rsidP="00CB3EC1">
      <w:pPr>
        <w:ind w:right="-2"/>
        <w:rPr>
          <w:rFonts w:ascii="Arial" w:hAnsi="Arial"/>
          <w:b/>
          <w:sz w:val="20"/>
          <w:lang w:val="en-GB"/>
        </w:rPr>
      </w:pPr>
      <w:r w:rsidRPr="00CB3EC1">
        <w:rPr>
          <w:rFonts w:ascii="Arial" w:hAnsi="Arial"/>
          <w:b/>
          <w:sz w:val="20"/>
          <w:lang w:val="en-GB"/>
        </w:rPr>
        <w:t xml:space="preserve">CMS </w:t>
      </w:r>
      <w:r w:rsidR="001A197E">
        <w:rPr>
          <w:rFonts w:ascii="Arial" w:hAnsi="Arial"/>
          <w:b/>
          <w:sz w:val="20"/>
          <w:lang w:val="en-GB"/>
        </w:rPr>
        <w:t>a</w:t>
      </w:r>
      <w:r w:rsidRPr="00CB3EC1">
        <w:rPr>
          <w:rFonts w:ascii="Arial" w:hAnsi="Arial"/>
          <w:b/>
          <w:sz w:val="20"/>
          <w:lang w:val="en-GB"/>
        </w:rPr>
        <w:t xml:space="preserve">dvises on </w:t>
      </w:r>
      <w:r w:rsidR="001A197E">
        <w:rPr>
          <w:rFonts w:ascii="Arial" w:hAnsi="Arial"/>
          <w:b/>
          <w:sz w:val="20"/>
          <w:lang w:val="en-GB"/>
        </w:rPr>
        <w:t>l</w:t>
      </w:r>
      <w:r w:rsidRPr="00CB3EC1">
        <w:rPr>
          <w:rFonts w:ascii="Arial" w:hAnsi="Arial"/>
          <w:b/>
          <w:sz w:val="20"/>
          <w:lang w:val="en-GB"/>
        </w:rPr>
        <w:t xml:space="preserve">argest </w:t>
      </w:r>
      <w:r w:rsidR="001A197E">
        <w:rPr>
          <w:rFonts w:ascii="Arial" w:hAnsi="Arial"/>
          <w:b/>
          <w:sz w:val="20"/>
          <w:lang w:val="en-GB"/>
        </w:rPr>
        <w:t>f</w:t>
      </w:r>
      <w:r w:rsidRPr="00CB3EC1">
        <w:rPr>
          <w:rFonts w:ascii="Arial" w:hAnsi="Arial"/>
          <w:b/>
          <w:sz w:val="20"/>
          <w:lang w:val="en-GB"/>
        </w:rPr>
        <w:t xml:space="preserve">oreign </w:t>
      </w:r>
      <w:r w:rsidR="001A197E">
        <w:rPr>
          <w:rFonts w:ascii="Arial" w:hAnsi="Arial"/>
          <w:b/>
          <w:sz w:val="20"/>
          <w:lang w:val="en-GB"/>
        </w:rPr>
        <w:t>i</w:t>
      </w:r>
      <w:r w:rsidRPr="00CB3EC1">
        <w:rPr>
          <w:rFonts w:ascii="Arial" w:hAnsi="Arial"/>
          <w:b/>
          <w:sz w:val="20"/>
          <w:lang w:val="en-GB"/>
        </w:rPr>
        <w:t>nvestment in Serbia:</w:t>
      </w:r>
      <w:r>
        <w:rPr>
          <w:rFonts w:ascii="Arial" w:hAnsi="Arial"/>
          <w:b/>
          <w:sz w:val="20"/>
          <w:lang w:val="en-GB"/>
        </w:rPr>
        <w:t xml:space="preserve"> </w:t>
      </w:r>
      <w:r w:rsidRPr="00CB3EC1">
        <w:rPr>
          <w:rFonts w:ascii="Arial" w:hAnsi="Arial"/>
          <w:b/>
          <w:sz w:val="20"/>
          <w:lang w:val="en-GB"/>
        </w:rPr>
        <w:t xml:space="preserve">Delhaize </w:t>
      </w:r>
      <w:r w:rsidR="001A197E">
        <w:rPr>
          <w:rFonts w:ascii="Arial" w:hAnsi="Arial"/>
          <w:b/>
          <w:sz w:val="20"/>
          <w:lang w:val="en-GB"/>
        </w:rPr>
        <w:t>b</w:t>
      </w:r>
      <w:r w:rsidRPr="00CB3EC1">
        <w:rPr>
          <w:rFonts w:ascii="Arial" w:hAnsi="Arial"/>
          <w:b/>
          <w:sz w:val="20"/>
          <w:lang w:val="en-GB"/>
        </w:rPr>
        <w:t xml:space="preserve">uys </w:t>
      </w:r>
      <w:r w:rsidR="001A197E">
        <w:rPr>
          <w:rFonts w:ascii="Arial" w:hAnsi="Arial"/>
          <w:b/>
          <w:sz w:val="20"/>
          <w:lang w:val="en-GB"/>
        </w:rPr>
        <w:t>r</w:t>
      </w:r>
      <w:r w:rsidRPr="00CB3EC1">
        <w:rPr>
          <w:rFonts w:ascii="Arial" w:hAnsi="Arial"/>
          <w:b/>
          <w:sz w:val="20"/>
          <w:lang w:val="en-GB"/>
        </w:rPr>
        <w:t xml:space="preserve">etail </w:t>
      </w:r>
      <w:r w:rsidR="001A197E">
        <w:rPr>
          <w:rFonts w:ascii="Arial" w:hAnsi="Arial"/>
          <w:b/>
          <w:sz w:val="20"/>
          <w:lang w:val="en-GB"/>
        </w:rPr>
        <w:t>c</w:t>
      </w:r>
      <w:bookmarkStart w:id="0" w:name="_GoBack"/>
      <w:bookmarkEnd w:id="0"/>
      <w:r w:rsidRPr="00CB3EC1">
        <w:rPr>
          <w:rFonts w:ascii="Arial" w:hAnsi="Arial"/>
          <w:b/>
          <w:sz w:val="20"/>
          <w:lang w:val="en-GB"/>
        </w:rPr>
        <w:t>hain Delta Maxi Group</w:t>
      </w:r>
    </w:p>
    <w:p w:rsidR="00CB3EC1" w:rsidRPr="00CB3EC1" w:rsidRDefault="00CB3EC1" w:rsidP="00CB3EC1">
      <w:pPr>
        <w:ind w:right="-2"/>
        <w:rPr>
          <w:rFonts w:ascii="Arial" w:hAnsi="Arial"/>
          <w:sz w:val="20"/>
          <w:lang w:val="en-GB"/>
        </w:rPr>
      </w:pPr>
    </w:p>
    <w:p w:rsidR="00CB3EC1" w:rsidRPr="00CB3EC1" w:rsidRDefault="00CB3EC1" w:rsidP="00CB3EC1">
      <w:pPr>
        <w:ind w:right="-2"/>
        <w:rPr>
          <w:b/>
          <w:sz w:val="20"/>
          <w:lang w:val="en-GB"/>
        </w:rPr>
      </w:pPr>
      <w:r w:rsidRPr="00CB3EC1">
        <w:rPr>
          <w:rFonts w:ascii="Arial" w:hAnsi="Arial"/>
          <w:b/>
          <w:sz w:val="20"/>
          <w:lang w:val="en-GB"/>
        </w:rPr>
        <w:t>CMS Reich-Rohrwig Hainz has advised the Belgian retail group Delhaize on the acquisition of the leading Serbian retail store chain Delta Maxi Group in Serbia, Bosnia and Herzegovina, Macedonia as well as Montenegro. “At a purchase price of EUR 932.5 m, it is the largest private transaction of all time in Se</w:t>
      </w:r>
      <w:r w:rsidRPr="00CB3EC1">
        <w:rPr>
          <w:rFonts w:ascii="Arial" w:hAnsi="Arial"/>
          <w:b/>
          <w:sz w:val="20"/>
          <w:lang w:val="en-GB"/>
        </w:rPr>
        <w:t>r</w:t>
      </w:r>
      <w:r w:rsidRPr="00CB3EC1">
        <w:rPr>
          <w:rFonts w:ascii="Arial" w:hAnsi="Arial"/>
          <w:b/>
          <w:sz w:val="20"/>
          <w:lang w:val="en-GB"/>
        </w:rPr>
        <w:t xml:space="preserve">bia,” says Radivoje </w:t>
      </w:r>
      <w:proofErr w:type="spellStart"/>
      <w:r w:rsidRPr="00CB3EC1">
        <w:rPr>
          <w:rFonts w:ascii="Arial" w:hAnsi="Arial"/>
          <w:b/>
          <w:sz w:val="20"/>
          <w:lang w:val="en-GB"/>
        </w:rPr>
        <w:t>Petrikić</w:t>
      </w:r>
      <w:proofErr w:type="spellEnd"/>
      <w:r w:rsidRPr="00CB3EC1">
        <w:rPr>
          <w:rFonts w:ascii="Arial" w:hAnsi="Arial"/>
          <w:b/>
          <w:sz w:val="20"/>
          <w:lang w:val="en-GB"/>
        </w:rPr>
        <w:t>, partner and CEE coordinator at CMS Reich-Rohrwig Hainz.</w:t>
      </w:r>
      <w:r w:rsidRPr="00CB3EC1">
        <w:rPr>
          <w:b/>
          <w:sz w:val="20"/>
          <w:lang w:val="en-GB"/>
        </w:rPr>
        <w:t xml:space="preserve"> </w:t>
      </w:r>
      <w:r w:rsidRPr="00CB3EC1">
        <w:rPr>
          <w:rFonts w:ascii="Arial" w:hAnsi="Arial"/>
          <w:b/>
          <w:sz w:val="20"/>
          <w:lang w:val="en-GB"/>
        </w:rPr>
        <w:t>Closing of the deal is expected for the third quarter of 2011. The acquisition is yet to be approved by the Serbian co</w:t>
      </w:r>
      <w:r w:rsidRPr="00CB3EC1">
        <w:rPr>
          <w:rFonts w:ascii="Arial" w:hAnsi="Arial"/>
          <w:b/>
          <w:sz w:val="20"/>
          <w:lang w:val="en-GB"/>
        </w:rPr>
        <w:t>m</w:t>
      </w:r>
      <w:r w:rsidRPr="00CB3EC1">
        <w:rPr>
          <w:rFonts w:ascii="Arial" w:hAnsi="Arial"/>
          <w:b/>
          <w:sz w:val="20"/>
          <w:lang w:val="en-GB"/>
        </w:rPr>
        <w:t>petition authorities.</w:t>
      </w:r>
    </w:p>
    <w:p w:rsidR="00CB3EC1" w:rsidRPr="00CB3EC1" w:rsidRDefault="00CB3EC1" w:rsidP="00CB3EC1">
      <w:pPr>
        <w:ind w:right="-2"/>
        <w:rPr>
          <w:rFonts w:ascii="Arial" w:hAnsi="Arial"/>
          <w:sz w:val="20"/>
          <w:lang w:val="en-GB"/>
        </w:rPr>
      </w:pPr>
    </w:p>
    <w:p w:rsidR="00CB3EC1" w:rsidRPr="00CB3EC1" w:rsidRDefault="00CB3EC1" w:rsidP="00CB3EC1">
      <w:pPr>
        <w:ind w:right="-2"/>
        <w:rPr>
          <w:rFonts w:ascii="Arial" w:hAnsi="Arial"/>
          <w:sz w:val="20"/>
          <w:lang w:val="en-GB"/>
        </w:rPr>
      </w:pPr>
      <w:r w:rsidRPr="00CB3EC1">
        <w:rPr>
          <w:rFonts w:ascii="Arial" w:hAnsi="Arial"/>
          <w:sz w:val="20"/>
          <w:lang w:val="en-GB"/>
        </w:rPr>
        <w:t xml:space="preserve">“In this takeover, the combination of international and local legal expertise was crucial,” Radivoje </w:t>
      </w:r>
      <w:proofErr w:type="spellStart"/>
      <w:r w:rsidRPr="00CB3EC1">
        <w:rPr>
          <w:rFonts w:ascii="Arial" w:hAnsi="Arial"/>
          <w:sz w:val="20"/>
          <w:lang w:val="en-GB"/>
        </w:rPr>
        <w:t>Petrikić</w:t>
      </w:r>
      <w:proofErr w:type="spellEnd"/>
      <w:r w:rsidRPr="00CB3EC1">
        <w:rPr>
          <w:rFonts w:ascii="Arial" w:hAnsi="Arial"/>
          <w:sz w:val="20"/>
          <w:lang w:val="en-GB"/>
        </w:rPr>
        <w:t xml:space="preserve"> explains. “This transaction and its astonishing legal complexity and immense scope have added a new dimension to M&amp;A deals in Serbia.”</w:t>
      </w:r>
    </w:p>
    <w:p w:rsidR="00CB3EC1" w:rsidRPr="00CB3EC1" w:rsidRDefault="00CB3EC1" w:rsidP="00CB3EC1">
      <w:pPr>
        <w:ind w:right="-2"/>
        <w:rPr>
          <w:rFonts w:ascii="Arial" w:hAnsi="Arial"/>
          <w:sz w:val="20"/>
          <w:lang w:val="en-GB"/>
        </w:rPr>
      </w:pPr>
    </w:p>
    <w:p w:rsidR="00CB3EC1" w:rsidRPr="00CB3EC1" w:rsidRDefault="00CB3EC1" w:rsidP="00CB3EC1">
      <w:pPr>
        <w:ind w:right="-2"/>
        <w:rPr>
          <w:rFonts w:ascii="Arial" w:hAnsi="Arial"/>
          <w:sz w:val="20"/>
          <w:lang w:val="en-GB"/>
        </w:rPr>
      </w:pPr>
      <w:r w:rsidRPr="00CB3EC1">
        <w:rPr>
          <w:rFonts w:ascii="Arial" w:hAnsi="Arial"/>
          <w:sz w:val="20"/>
          <w:lang w:val="en-GB"/>
        </w:rPr>
        <w:t>Delta Maxi operates 450 stores and employs 15,000 people in Serbia, Bosnia-Herzegovina, Mo</w:t>
      </w:r>
      <w:r w:rsidRPr="00CB3EC1">
        <w:rPr>
          <w:rFonts w:ascii="Arial" w:hAnsi="Arial"/>
          <w:sz w:val="20"/>
          <w:lang w:val="en-GB"/>
        </w:rPr>
        <w:t>n</w:t>
      </w:r>
      <w:r w:rsidRPr="00CB3EC1">
        <w:rPr>
          <w:rFonts w:ascii="Arial" w:hAnsi="Arial"/>
          <w:sz w:val="20"/>
          <w:lang w:val="en-GB"/>
        </w:rPr>
        <w:t>tenegro, Bulgaria and Albania. Turnover for 2011 is estimated to range between EUR 1.35 and 1.4 bn. Delhaize Group already owns stores in Greece and Romania; this transaction will turn the group into one of the largest retail store chains in Southeast Europe.</w:t>
      </w:r>
    </w:p>
    <w:p w:rsidR="00CB3EC1" w:rsidRPr="00CB3EC1" w:rsidRDefault="00CB3EC1" w:rsidP="00CB3EC1">
      <w:pPr>
        <w:ind w:right="-2"/>
        <w:rPr>
          <w:rFonts w:ascii="Arial" w:hAnsi="Arial"/>
          <w:sz w:val="20"/>
          <w:lang w:val="en-GB"/>
        </w:rPr>
      </w:pPr>
    </w:p>
    <w:p w:rsidR="001809DD" w:rsidRPr="00CB3EC1" w:rsidRDefault="00CB3EC1" w:rsidP="00CB3EC1">
      <w:pPr>
        <w:ind w:right="-2"/>
        <w:jc w:val="left"/>
        <w:rPr>
          <w:rFonts w:ascii="Arial" w:hAnsi="Arial" w:cs="Arial"/>
          <w:sz w:val="20"/>
          <w:lang w:val="en-GB"/>
        </w:rPr>
      </w:pPr>
      <w:r w:rsidRPr="00CB3EC1">
        <w:rPr>
          <w:rFonts w:ascii="Arial" w:hAnsi="Arial"/>
          <w:sz w:val="20"/>
          <w:lang w:val="en-GB"/>
        </w:rPr>
        <w:t xml:space="preserve">A current picture of Radivoje </w:t>
      </w:r>
      <w:proofErr w:type="spellStart"/>
      <w:r w:rsidRPr="00CB3EC1">
        <w:rPr>
          <w:rFonts w:ascii="Arial" w:hAnsi="Arial"/>
          <w:sz w:val="20"/>
          <w:lang w:val="en-GB"/>
        </w:rPr>
        <w:t>Petrikić</w:t>
      </w:r>
      <w:proofErr w:type="spellEnd"/>
      <w:r w:rsidRPr="00CB3EC1">
        <w:rPr>
          <w:b/>
          <w:sz w:val="20"/>
          <w:lang w:val="en-GB"/>
        </w:rPr>
        <w:t xml:space="preserve"> </w:t>
      </w:r>
      <w:r w:rsidRPr="00CB3EC1">
        <w:rPr>
          <w:rFonts w:ascii="Arial" w:hAnsi="Arial"/>
          <w:sz w:val="20"/>
          <w:lang w:val="en-GB"/>
        </w:rPr>
        <w:t xml:space="preserve">is available at </w:t>
      </w:r>
      <w:hyperlink r:id="rId8" w:history="1">
        <w:r w:rsidRPr="00CB3EC1">
          <w:rPr>
            <w:rStyle w:val="Hyperlink"/>
            <w:rFonts w:ascii="Arial" w:hAnsi="Arial"/>
            <w:sz w:val="20"/>
            <w:lang w:val="en-GB"/>
          </w:rPr>
          <w:t>http://sites.cms-rrh.com/downloads/petrikic.zip</w:t>
        </w:r>
      </w:hyperlink>
      <w:r w:rsidRPr="00CB3EC1">
        <w:rPr>
          <w:rFonts w:ascii="Arial" w:hAnsi="Arial"/>
          <w:sz w:val="20"/>
          <w:lang w:val="en-GB"/>
        </w:rPr>
        <w:t xml:space="preserve"> </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lastRenderedPageBreak/>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C1" w:rsidRDefault="00CB3EC1">
      <w:r>
        <w:separator/>
      </w:r>
    </w:p>
  </w:endnote>
  <w:endnote w:type="continuationSeparator" w:id="0">
    <w:p w:rsidR="00CB3EC1" w:rsidRDefault="00CB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C1" w:rsidRDefault="00CB3EC1">
      <w:r>
        <w:separator/>
      </w:r>
    </w:p>
  </w:footnote>
  <w:footnote w:type="continuationSeparator" w:id="0">
    <w:p w:rsidR="00CB3EC1" w:rsidRDefault="00CB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1A197E">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1775D4">
    <w:pPr>
      <w:pStyle w:val="Kopfzeile"/>
      <w:rPr>
        <w:rFonts w:ascii="Arial" w:hAnsi="Arial"/>
        <w:sz w:val="13"/>
      </w:rPr>
    </w:pPr>
    <w:r>
      <w:rPr>
        <w:noProof/>
        <w:lang w:eastAsia="de-AT"/>
      </w:rPr>
      <w:drawing>
        <wp:anchor distT="0" distB="0" distL="114300" distR="114300" simplePos="0" relativeHeight="251657728" behindDoc="0" locked="0" layoutInCell="1" allowOverlap="1" wp14:anchorId="64D645E9" wp14:editId="0B44ED77">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C1"/>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A197E"/>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B3EC1"/>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character" w:customStyle="1" w:styleId="tw4winMark">
    <w:name w:val="tw4winMark"/>
    <w:rsid w:val="00CB3EC1"/>
    <w:rPr>
      <w:rFonts w:ascii="Courier New" w:hAnsi="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character" w:customStyle="1" w:styleId="tw4winMark">
    <w:name w:val="tw4winMark"/>
    <w:rsid w:val="00CB3EC1"/>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petrikic.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607</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4255</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2</cp:revision>
  <cp:lastPrinted>2006-09-04T11:12:00Z</cp:lastPrinted>
  <dcterms:created xsi:type="dcterms:W3CDTF">2011-03-04T08:37:00Z</dcterms:created>
  <dcterms:modified xsi:type="dcterms:W3CDTF">2011-03-04T08:43:00Z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