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E2" w:rsidRDefault="002D43E2"/>
    <w:tbl>
      <w:tblPr>
        <w:tblStyle w:val="Tabellenraster"/>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384"/>
        <w:gridCol w:w="4394"/>
        <w:gridCol w:w="1276"/>
        <w:gridCol w:w="2267"/>
      </w:tblGrid>
      <w:tr w:rsidR="002D43E2" w:rsidRPr="007969D6" w:rsidTr="000151E1">
        <w:trPr>
          <w:trHeight w:val="1045"/>
        </w:trPr>
        <w:tc>
          <w:tcPr>
            <w:tcW w:w="5778" w:type="dxa"/>
            <w:gridSpan w:val="2"/>
          </w:tcPr>
          <w:p w:rsidR="002D43E2" w:rsidRPr="002D43E2" w:rsidRDefault="002D43E2" w:rsidP="002D43E2">
            <w:pPr>
              <w:spacing w:before="0" w:after="0" w:line="240" w:lineRule="auto"/>
              <w:rPr>
                <w:rFonts w:ascii="Arial" w:hAnsi="Arial" w:cs="Arial"/>
                <w:b/>
                <w:sz w:val="40"/>
                <w:szCs w:val="40"/>
                <w:lang w:val="de-DE"/>
              </w:rPr>
            </w:pPr>
            <w:r>
              <w:rPr>
                <w:rFonts w:ascii="Arial" w:hAnsi="Arial" w:cs="Arial"/>
                <w:b/>
                <w:sz w:val="40"/>
                <w:szCs w:val="40"/>
                <w:lang w:val="de-DE"/>
              </w:rPr>
              <w:t>PRESS RELEASE</w:t>
            </w:r>
          </w:p>
        </w:tc>
        <w:tc>
          <w:tcPr>
            <w:tcW w:w="1276" w:type="dxa"/>
          </w:tcPr>
          <w:p w:rsidR="002D43E2" w:rsidRDefault="002D43E2" w:rsidP="00EC764B">
            <w:pPr>
              <w:shd w:val="solid" w:color="FFFFFF" w:fill="FFFFFF"/>
              <w:spacing w:before="0" w:line="220" w:lineRule="exact"/>
              <w:rPr>
                <w:rFonts w:ascii="Arial" w:hAnsi="Arial" w:cs="Arial"/>
                <w:b/>
                <w:color w:val="000000" w:themeColor="text1"/>
                <w:sz w:val="15"/>
                <w:szCs w:val="15"/>
                <w:lang w:val="de-AT"/>
              </w:rPr>
            </w:pPr>
          </w:p>
        </w:tc>
        <w:tc>
          <w:tcPr>
            <w:tcW w:w="2267" w:type="dxa"/>
            <w:vMerge w:val="restart"/>
          </w:tcPr>
          <w:p w:rsidR="002D43E2" w:rsidRPr="007969D6" w:rsidRDefault="002D43E2" w:rsidP="00EC764B">
            <w:pPr>
              <w:shd w:val="solid" w:color="FFFFFF" w:fill="FFFFFF"/>
              <w:spacing w:before="0" w:line="220" w:lineRule="exact"/>
              <w:rPr>
                <w:rFonts w:ascii="Arial" w:hAnsi="Arial" w:cs="Arial"/>
                <w:b/>
                <w:color w:val="000000" w:themeColor="text1"/>
                <w:sz w:val="15"/>
                <w:szCs w:val="15"/>
                <w:lang w:val="de-AT"/>
              </w:rPr>
            </w:pPr>
            <w:r w:rsidRPr="007969D6">
              <w:rPr>
                <w:rFonts w:ascii="Arial" w:hAnsi="Arial" w:cs="Arial"/>
                <w:b/>
                <w:color w:val="000000" w:themeColor="text1"/>
                <w:sz w:val="15"/>
                <w:szCs w:val="15"/>
                <w:lang w:val="de-AT"/>
              </w:rPr>
              <w:t>CMS Reich-Rohrwig Hainz</w:t>
            </w:r>
            <w:r w:rsidRPr="007969D6">
              <w:rPr>
                <w:rFonts w:ascii="Arial" w:hAnsi="Arial" w:cs="Arial"/>
                <w:b/>
                <w:color w:val="000000" w:themeColor="text1"/>
                <w:sz w:val="15"/>
                <w:szCs w:val="15"/>
                <w:lang w:val="de-AT"/>
              </w:rPr>
              <w:br/>
              <w:t>Rechtsanwälte GmbH</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Gauermanngasse 2</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1010 Vienna</w:t>
            </w:r>
          </w:p>
          <w:p w:rsidR="002D43E2" w:rsidRPr="007969D6" w:rsidRDefault="002D43E2" w:rsidP="00EC764B">
            <w:pPr>
              <w:shd w:val="solid" w:color="FFFFFF" w:fill="FFFFFF"/>
              <w:spacing w:before="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Austria</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b/>
                <w:bCs/>
                <w:color w:val="000000" w:themeColor="text1"/>
                <w:sz w:val="15"/>
                <w:szCs w:val="15"/>
                <w:lang w:val="de-AT"/>
              </w:rPr>
              <w:t xml:space="preserve">T </w:t>
            </w:r>
            <w:r w:rsidRPr="007969D6">
              <w:rPr>
                <w:rFonts w:ascii="Arial" w:hAnsi="Arial" w:cs="Arial"/>
                <w:color w:val="000000" w:themeColor="text1"/>
                <w:sz w:val="15"/>
                <w:szCs w:val="15"/>
                <w:lang w:val="de-AT"/>
              </w:rPr>
              <w:t>+43 1 40443-4000</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b/>
                <w:bCs/>
                <w:color w:val="000000" w:themeColor="text1"/>
                <w:sz w:val="15"/>
                <w:szCs w:val="15"/>
                <w:lang w:val="de-AT"/>
              </w:rPr>
              <w:t xml:space="preserve">F </w:t>
            </w:r>
            <w:r w:rsidRPr="007969D6">
              <w:rPr>
                <w:rFonts w:ascii="Arial" w:hAnsi="Arial" w:cs="Arial"/>
                <w:color w:val="000000" w:themeColor="text1"/>
                <w:sz w:val="15"/>
                <w:szCs w:val="15"/>
                <w:lang w:val="de-AT"/>
              </w:rPr>
              <w:t>+43 1 40443-94000</w:t>
            </w:r>
          </w:p>
          <w:p w:rsidR="002D43E2" w:rsidRPr="007969D6" w:rsidRDefault="002D43E2" w:rsidP="00EC764B">
            <w:pPr>
              <w:shd w:val="solid" w:color="FFFFFF" w:fill="FFFFFF"/>
              <w:spacing w:before="0" w:line="220" w:lineRule="exact"/>
              <w:rPr>
                <w:rFonts w:ascii="Arial" w:hAnsi="Arial" w:cs="Arial"/>
                <w:bCs/>
                <w:color w:val="000000" w:themeColor="text1"/>
                <w:sz w:val="15"/>
                <w:szCs w:val="15"/>
                <w:lang w:val="de-AT"/>
              </w:rPr>
            </w:pPr>
            <w:r w:rsidRPr="007969D6">
              <w:rPr>
                <w:rFonts w:ascii="Arial" w:hAnsi="Arial" w:cs="Arial"/>
                <w:b/>
                <w:bCs/>
                <w:color w:val="000000" w:themeColor="text1"/>
                <w:sz w:val="15"/>
                <w:szCs w:val="15"/>
                <w:lang w:val="de-AT"/>
              </w:rPr>
              <w:t xml:space="preserve">E </w:t>
            </w:r>
            <w:r w:rsidRPr="007969D6">
              <w:rPr>
                <w:rFonts w:ascii="Arial" w:hAnsi="Arial" w:cs="Arial"/>
                <w:bCs/>
                <w:color w:val="000000" w:themeColor="text1"/>
                <w:sz w:val="15"/>
                <w:szCs w:val="15"/>
                <w:lang w:val="de-AT"/>
              </w:rPr>
              <w:t>presse@cms-rrh.com</w:t>
            </w:r>
          </w:p>
          <w:p w:rsidR="002D43E2" w:rsidRPr="007969D6" w:rsidRDefault="002D43E2" w:rsidP="00EC764B">
            <w:pPr>
              <w:shd w:val="solid" w:color="FFFFFF" w:fill="FFFFFF"/>
              <w:spacing w:before="0" w:line="220" w:lineRule="exact"/>
              <w:rPr>
                <w:rFonts w:ascii="Arial" w:hAnsi="Arial" w:cs="Arial"/>
                <w:bCs/>
                <w:color w:val="000000" w:themeColor="text1"/>
                <w:sz w:val="15"/>
                <w:szCs w:val="15"/>
                <w:lang w:val="de-AT"/>
              </w:rPr>
            </w:pPr>
            <w:r w:rsidRPr="007969D6">
              <w:rPr>
                <w:rFonts w:ascii="Arial" w:hAnsi="Arial" w:cs="Arial"/>
                <w:bCs/>
                <w:color w:val="000000" w:themeColor="text1"/>
                <w:sz w:val="15"/>
                <w:szCs w:val="15"/>
                <w:lang w:val="de-AT"/>
              </w:rPr>
              <w:t>www.cms-rrh.com</w:t>
            </w:r>
          </w:p>
        </w:tc>
      </w:tr>
      <w:tr w:rsidR="002D43E2" w:rsidRPr="00F62516" w:rsidTr="002D43E2">
        <w:tblPrEx>
          <w:tblLook w:val="04A0" w:firstRow="1" w:lastRow="0" w:firstColumn="1" w:lastColumn="0" w:noHBand="0" w:noVBand="1"/>
        </w:tblPrEx>
        <w:trPr>
          <w:trHeight w:val="340"/>
        </w:trPr>
        <w:tc>
          <w:tcPr>
            <w:tcW w:w="1384" w:type="dxa"/>
            <w:tcBorders>
              <w:bottom w:val="dashSmallGap" w:sz="4" w:space="0" w:color="auto"/>
            </w:tcBorders>
            <w:vAlign w:val="center"/>
          </w:tcPr>
          <w:p w:rsidR="002D43E2" w:rsidRPr="00F62516" w:rsidRDefault="002D43E2" w:rsidP="00EC764B">
            <w:pPr>
              <w:spacing w:before="0"/>
              <w:rPr>
                <w:rFonts w:ascii="Arial" w:hAnsi="Arial" w:cs="Arial"/>
                <w:b/>
                <w:sz w:val="18"/>
                <w:szCs w:val="18"/>
              </w:rPr>
            </w:pPr>
            <w:r w:rsidRPr="00F62516">
              <w:rPr>
                <w:rFonts w:ascii="Arial" w:hAnsi="Arial" w:cs="Arial"/>
                <w:b/>
                <w:sz w:val="18"/>
                <w:szCs w:val="18"/>
              </w:rPr>
              <w:t>Date</w:t>
            </w:r>
          </w:p>
        </w:tc>
        <w:tc>
          <w:tcPr>
            <w:tcW w:w="4394" w:type="dxa"/>
            <w:tcBorders>
              <w:bottom w:val="dashSmallGap" w:sz="4" w:space="0" w:color="auto"/>
            </w:tcBorders>
            <w:vAlign w:val="center"/>
          </w:tcPr>
          <w:p w:rsidR="002D43E2" w:rsidRPr="00B90C23" w:rsidRDefault="002930C9" w:rsidP="00BD0293">
            <w:pPr>
              <w:spacing w:before="0"/>
              <w:rPr>
                <w:rStyle w:val="Seitenzahl"/>
                <w:rFonts w:ascii="Arial" w:hAnsi="Arial" w:cs="Arial"/>
                <w:sz w:val="18"/>
                <w:szCs w:val="18"/>
              </w:rPr>
            </w:pPr>
            <w:r>
              <w:rPr>
                <w:rStyle w:val="Seitenzahl"/>
                <w:rFonts w:ascii="Arial" w:hAnsi="Arial" w:cs="Arial"/>
                <w:sz w:val="18"/>
                <w:szCs w:val="18"/>
              </w:rPr>
              <w:t>2</w:t>
            </w:r>
            <w:r w:rsidR="00BD0293">
              <w:rPr>
                <w:rStyle w:val="Seitenzahl"/>
                <w:rFonts w:ascii="Arial" w:hAnsi="Arial" w:cs="Arial"/>
                <w:sz w:val="18"/>
                <w:szCs w:val="18"/>
              </w:rPr>
              <w:t>9</w:t>
            </w:r>
            <w:r>
              <w:rPr>
                <w:rStyle w:val="Seitenzahl"/>
                <w:rFonts w:ascii="Arial" w:hAnsi="Arial" w:cs="Arial"/>
                <w:sz w:val="18"/>
                <w:szCs w:val="18"/>
              </w:rPr>
              <w:t xml:space="preserve"> July 2014</w:t>
            </w:r>
          </w:p>
        </w:tc>
        <w:tc>
          <w:tcPr>
            <w:tcW w:w="1276" w:type="dxa"/>
          </w:tcPr>
          <w:p w:rsidR="002D43E2" w:rsidRPr="00F62516" w:rsidRDefault="002D43E2" w:rsidP="00EC764B">
            <w:pPr>
              <w:spacing w:before="0"/>
              <w:rPr>
                <w:rFonts w:ascii="Arial" w:hAnsi="Arial" w:cs="Arial"/>
                <w:sz w:val="18"/>
                <w:szCs w:val="18"/>
              </w:rPr>
            </w:pPr>
          </w:p>
        </w:tc>
        <w:tc>
          <w:tcPr>
            <w:tcW w:w="2267" w:type="dxa"/>
            <w:vMerge/>
          </w:tcPr>
          <w:p w:rsidR="002D43E2" w:rsidRPr="00F62516" w:rsidRDefault="002D43E2" w:rsidP="00EC764B">
            <w:pPr>
              <w:spacing w:before="0"/>
              <w:rPr>
                <w:rFonts w:ascii="Arial" w:hAnsi="Arial" w:cs="Arial"/>
                <w:sz w:val="18"/>
                <w:szCs w:val="18"/>
              </w:rPr>
            </w:pPr>
          </w:p>
        </w:tc>
      </w:tr>
      <w:tr w:rsidR="002D43E2" w:rsidRPr="00F62516" w:rsidTr="002D43E2">
        <w:tblPrEx>
          <w:tblLook w:val="04A0" w:firstRow="1" w:lastRow="0" w:firstColumn="1" w:lastColumn="0" w:noHBand="0" w:noVBand="1"/>
        </w:tblPrEx>
        <w:trPr>
          <w:trHeight w:val="340"/>
        </w:trPr>
        <w:tc>
          <w:tcPr>
            <w:tcW w:w="1384" w:type="dxa"/>
            <w:tcBorders>
              <w:top w:val="dashSmallGap" w:sz="4" w:space="0" w:color="auto"/>
              <w:bottom w:val="dashSmallGap" w:sz="4" w:space="0" w:color="auto"/>
            </w:tcBorders>
            <w:vAlign w:val="center"/>
          </w:tcPr>
          <w:p w:rsidR="002D43E2" w:rsidRPr="00F62516" w:rsidRDefault="002D43E2" w:rsidP="00EC764B">
            <w:pPr>
              <w:spacing w:before="0"/>
              <w:rPr>
                <w:rFonts w:ascii="Arial" w:hAnsi="Arial" w:cs="Arial"/>
                <w:b/>
                <w:sz w:val="18"/>
                <w:szCs w:val="18"/>
              </w:rPr>
            </w:pPr>
            <w:r w:rsidRPr="00F62516">
              <w:rPr>
                <w:rFonts w:ascii="Arial" w:hAnsi="Arial" w:cs="Arial"/>
                <w:b/>
                <w:sz w:val="18"/>
                <w:szCs w:val="18"/>
              </w:rPr>
              <w:t>Page</w:t>
            </w:r>
          </w:p>
        </w:tc>
        <w:tc>
          <w:tcPr>
            <w:tcW w:w="4394" w:type="dxa"/>
            <w:tcBorders>
              <w:top w:val="dashSmallGap" w:sz="4" w:space="0" w:color="auto"/>
              <w:bottom w:val="dashSmallGap" w:sz="4" w:space="0" w:color="auto"/>
            </w:tcBorders>
            <w:vAlign w:val="center"/>
          </w:tcPr>
          <w:p w:rsidR="002D43E2" w:rsidRDefault="00BD0293" w:rsidP="00EC764B">
            <w:pPr>
              <w:spacing w:before="0"/>
              <w:rPr>
                <w:rStyle w:val="Seitenzahl"/>
                <w:rFonts w:ascii="Arial" w:hAnsi="Arial" w:cs="Arial"/>
                <w:sz w:val="18"/>
                <w:szCs w:val="18"/>
              </w:rPr>
            </w:pPr>
            <w:r>
              <w:rPr>
                <w:rStyle w:val="Seitenzahl"/>
                <w:rFonts w:ascii="Arial" w:hAnsi="Arial" w:cs="Arial"/>
                <w:sz w:val="18"/>
                <w:szCs w:val="18"/>
              </w:rPr>
              <w:t>3</w:t>
            </w:r>
          </w:p>
        </w:tc>
        <w:tc>
          <w:tcPr>
            <w:tcW w:w="1276" w:type="dxa"/>
          </w:tcPr>
          <w:p w:rsidR="002D43E2" w:rsidRPr="00F62516" w:rsidRDefault="002D43E2" w:rsidP="00EC764B">
            <w:pPr>
              <w:spacing w:before="0"/>
              <w:rPr>
                <w:rFonts w:ascii="Arial" w:hAnsi="Arial" w:cs="Arial"/>
                <w:sz w:val="18"/>
                <w:szCs w:val="18"/>
              </w:rPr>
            </w:pPr>
          </w:p>
        </w:tc>
        <w:tc>
          <w:tcPr>
            <w:tcW w:w="2267" w:type="dxa"/>
            <w:vMerge/>
          </w:tcPr>
          <w:p w:rsidR="002D43E2" w:rsidRPr="00F62516" w:rsidRDefault="002D43E2" w:rsidP="00EC764B">
            <w:pPr>
              <w:spacing w:before="0"/>
              <w:rPr>
                <w:rFonts w:ascii="Arial" w:hAnsi="Arial" w:cs="Arial"/>
                <w:sz w:val="18"/>
                <w:szCs w:val="18"/>
              </w:rPr>
            </w:pPr>
          </w:p>
        </w:tc>
      </w:tr>
      <w:tr w:rsidR="002D43E2" w:rsidRPr="00F62516" w:rsidTr="002D43E2">
        <w:tblPrEx>
          <w:tblLook w:val="04A0" w:firstRow="1" w:lastRow="0" w:firstColumn="1" w:lastColumn="0" w:noHBand="0" w:noVBand="1"/>
        </w:tblPrEx>
        <w:trPr>
          <w:trHeight w:val="340"/>
        </w:trPr>
        <w:tc>
          <w:tcPr>
            <w:tcW w:w="1384" w:type="dxa"/>
            <w:tcBorders>
              <w:top w:val="dashSmallGap" w:sz="4" w:space="0" w:color="auto"/>
            </w:tcBorders>
            <w:vAlign w:val="center"/>
          </w:tcPr>
          <w:p w:rsidR="002D43E2" w:rsidRPr="00F62516" w:rsidRDefault="002D43E2" w:rsidP="00EC764B">
            <w:pPr>
              <w:spacing w:before="0" w:after="240"/>
              <w:rPr>
                <w:rFonts w:ascii="Arial" w:hAnsi="Arial" w:cs="Arial"/>
                <w:b/>
                <w:sz w:val="18"/>
                <w:szCs w:val="18"/>
              </w:rPr>
            </w:pPr>
            <w:r w:rsidRPr="00F62516">
              <w:rPr>
                <w:rFonts w:ascii="Arial" w:hAnsi="Arial" w:cs="Arial"/>
                <w:b/>
                <w:sz w:val="18"/>
                <w:szCs w:val="18"/>
              </w:rPr>
              <w:t>Subject</w:t>
            </w:r>
          </w:p>
        </w:tc>
        <w:tc>
          <w:tcPr>
            <w:tcW w:w="4394" w:type="dxa"/>
            <w:tcBorders>
              <w:top w:val="dashSmallGap" w:sz="4" w:space="0" w:color="auto"/>
            </w:tcBorders>
            <w:vAlign w:val="center"/>
          </w:tcPr>
          <w:p w:rsidR="002D43E2" w:rsidRPr="00BD0293" w:rsidRDefault="00BD0293" w:rsidP="00BD0293">
            <w:pPr>
              <w:spacing w:before="0" w:after="240"/>
              <w:rPr>
                <w:rFonts w:ascii="Arial" w:hAnsi="Arial" w:cs="Arial"/>
                <w:sz w:val="18"/>
                <w:szCs w:val="18"/>
              </w:rPr>
            </w:pPr>
            <w:r w:rsidRPr="00BD0293">
              <w:rPr>
                <w:rFonts w:ascii="Arial" w:hAnsi="Arial" w:cs="Arial"/>
                <w:b/>
                <w:sz w:val="18"/>
                <w:szCs w:val="18"/>
              </w:rPr>
              <w:t>CMS Guide to Cross-Border Mergers and online transaction planner</w:t>
            </w:r>
          </w:p>
        </w:tc>
        <w:tc>
          <w:tcPr>
            <w:tcW w:w="1276" w:type="dxa"/>
          </w:tcPr>
          <w:p w:rsidR="002D43E2" w:rsidRPr="00F62516" w:rsidRDefault="002D43E2" w:rsidP="00EC764B">
            <w:pPr>
              <w:spacing w:before="0" w:after="240"/>
              <w:rPr>
                <w:rFonts w:ascii="Arial" w:hAnsi="Arial" w:cs="Arial"/>
                <w:sz w:val="18"/>
                <w:szCs w:val="18"/>
              </w:rPr>
            </w:pPr>
          </w:p>
        </w:tc>
        <w:tc>
          <w:tcPr>
            <w:tcW w:w="2267" w:type="dxa"/>
            <w:vMerge/>
          </w:tcPr>
          <w:p w:rsidR="002D43E2" w:rsidRPr="00F62516" w:rsidRDefault="002D43E2" w:rsidP="00EC764B">
            <w:pPr>
              <w:spacing w:before="0" w:after="240"/>
              <w:rPr>
                <w:rFonts w:ascii="Arial" w:hAnsi="Arial" w:cs="Arial"/>
                <w:sz w:val="18"/>
                <w:szCs w:val="18"/>
              </w:rPr>
            </w:pPr>
          </w:p>
        </w:tc>
      </w:tr>
    </w:tbl>
    <w:p w:rsidR="00BD0293" w:rsidRPr="002E64C7" w:rsidRDefault="00BD0293" w:rsidP="00BD0293">
      <w:pPr>
        <w:rPr>
          <w:rFonts w:ascii="Times New Roman" w:hAnsi="Times New Roman"/>
          <w:b/>
        </w:rPr>
      </w:pPr>
      <w:r w:rsidRPr="00BD0293">
        <w:rPr>
          <w:rFonts w:ascii="Times New Roman" w:hAnsi="Times New Roman"/>
          <w:b/>
        </w:rPr>
        <w:t>CMS publishes updated Guide to Cross-Border Mergers and online transaction planner</w:t>
      </w:r>
      <w:r w:rsidRPr="00BD0293">
        <w:rPr>
          <w:rFonts w:ascii="Times New Roman" w:hAnsi="Times New Roman"/>
          <w:b/>
          <w:i/>
        </w:rPr>
        <w:t xml:space="preserve"> </w:t>
      </w:r>
      <w:r w:rsidRPr="002E64C7">
        <w:rPr>
          <w:rFonts w:ascii="Times New Roman" w:hAnsi="Times New Roman"/>
          <w:b/>
        </w:rPr>
        <w:t xml:space="preserve">Comprehensive overview of the key legal and fiscal requirements and implications of cross-border mergers, including timelines for cross-border mergers in 19 European countries </w:t>
      </w:r>
    </w:p>
    <w:p w:rsidR="00BD0293" w:rsidRPr="00BD0293" w:rsidRDefault="00BD0293" w:rsidP="00BD0293">
      <w:pPr>
        <w:spacing w:before="0"/>
        <w:rPr>
          <w:rFonts w:ascii="Times New Roman" w:hAnsi="Times New Roman"/>
        </w:rPr>
      </w:pPr>
    </w:p>
    <w:p w:rsidR="00BD0293" w:rsidRPr="00BD0293" w:rsidRDefault="00BD0293" w:rsidP="00BD0293">
      <w:pPr>
        <w:spacing w:before="0"/>
        <w:rPr>
          <w:rFonts w:ascii="Times New Roman" w:hAnsi="Times New Roman"/>
        </w:rPr>
      </w:pPr>
      <w:r w:rsidRPr="00BD0293">
        <w:rPr>
          <w:rFonts w:ascii="Times New Roman" w:hAnsi="Times New Roman"/>
        </w:rPr>
        <w:t xml:space="preserve">CMS, </w:t>
      </w:r>
      <w:r w:rsidR="002E64C7">
        <w:rPr>
          <w:rFonts w:ascii="Times New Roman" w:hAnsi="Times New Roman"/>
        </w:rPr>
        <w:t xml:space="preserve">one of </w:t>
      </w:r>
      <w:r w:rsidRPr="00BD0293">
        <w:rPr>
          <w:rFonts w:ascii="Times New Roman" w:hAnsi="Times New Roman"/>
        </w:rPr>
        <w:t>the top international law firm, has published the 2nd edition of its guide to cross-border mergers.</w:t>
      </w:r>
    </w:p>
    <w:p w:rsidR="00BD0293" w:rsidRPr="00BD0293" w:rsidRDefault="00BD0293" w:rsidP="00BD0293">
      <w:pPr>
        <w:spacing w:before="0"/>
        <w:rPr>
          <w:rFonts w:ascii="Times New Roman" w:hAnsi="Times New Roman"/>
        </w:rPr>
      </w:pPr>
      <w:r w:rsidRPr="00BD0293">
        <w:rPr>
          <w:rFonts w:ascii="Times New Roman" w:hAnsi="Times New Roman"/>
        </w:rPr>
        <w:t>European cross-border merger activity has risen in recent years despite challenging economic conditions. Multinational corporates in particular are looking to restructure their European entities in order to benefit from streamlined legal and administrative structures, improved cash management and regulatory advantages.</w:t>
      </w:r>
    </w:p>
    <w:p w:rsidR="00BD0293" w:rsidRPr="00BD0293" w:rsidRDefault="00BD0293" w:rsidP="00BD0293">
      <w:pPr>
        <w:spacing w:before="0"/>
        <w:rPr>
          <w:rFonts w:ascii="Times New Roman" w:hAnsi="Times New Roman"/>
        </w:rPr>
      </w:pPr>
      <w:r w:rsidRPr="00BD0293">
        <w:rPr>
          <w:rFonts w:ascii="Times New Roman" w:hAnsi="Times New Roman"/>
        </w:rPr>
        <w:t>Harmonized legislation on the basis of the EU Cross-Border Merger Directive continues to facilitate mergers across EU Member States. However, remaining national variations in procedural requirements, also regarding the timeline of such transactions, confront companies with complex challenges.</w:t>
      </w:r>
    </w:p>
    <w:p w:rsidR="00BD0293" w:rsidRPr="00BD0293" w:rsidRDefault="00BD0293" w:rsidP="00BD0293">
      <w:pPr>
        <w:spacing w:before="0"/>
        <w:rPr>
          <w:rFonts w:ascii="Times New Roman" w:hAnsi="Times New Roman"/>
        </w:rPr>
      </w:pPr>
      <w:r w:rsidRPr="00BD0293">
        <w:rPr>
          <w:rFonts w:ascii="Times New Roman" w:hAnsi="Times New Roman"/>
        </w:rPr>
        <w:t>The CMS Guide to Cross-Border Mergers sets out the key aspects of corporate, labour and tax law for cross-border mergers in 19 European countries. The guide is a user-friendly reference guide and includes a practical online planning tool for project teams, both covering:</w:t>
      </w:r>
    </w:p>
    <w:p w:rsidR="00BD0293" w:rsidRPr="002E64C7" w:rsidRDefault="00BD0293" w:rsidP="002E64C7">
      <w:pPr>
        <w:pStyle w:val="Listenabsatz"/>
        <w:numPr>
          <w:ilvl w:val="0"/>
          <w:numId w:val="12"/>
        </w:numPr>
        <w:spacing w:before="0"/>
        <w:rPr>
          <w:rFonts w:ascii="Times New Roman" w:hAnsi="Times New Roman"/>
        </w:rPr>
      </w:pPr>
      <w:r w:rsidRPr="002E64C7">
        <w:rPr>
          <w:rFonts w:ascii="Times New Roman" w:hAnsi="Times New Roman"/>
        </w:rPr>
        <w:t>the types of company that can participate in a cross-border merger</w:t>
      </w:r>
    </w:p>
    <w:p w:rsidR="00BD0293" w:rsidRPr="002E64C7" w:rsidRDefault="00BD0293" w:rsidP="002E64C7">
      <w:pPr>
        <w:pStyle w:val="Listenabsatz"/>
        <w:numPr>
          <w:ilvl w:val="0"/>
          <w:numId w:val="12"/>
        </w:numPr>
        <w:spacing w:before="0"/>
        <w:rPr>
          <w:rFonts w:ascii="Times New Roman" w:hAnsi="Times New Roman"/>
        </w:rPr>
      </w:pPr>
      <w:r w:rsidRPr="002E64C7">
        <w:rPr>
          <w:rFonts w:ascii="Times New Roman" w:hAnsi="Times New Roman"/>
        </w:rPr>
        <w:t>the format and content of key documents</w:t>
      </w:r>
    </w:p>
    <w:p w:rsidR="00BD0293" w:rsidRPr="002E64C7" w:rsidRDefault="00BD0293" w:rsidP="002E64C7">
      <w:pPr>
        <w:pStyle w:val="Listenabsatz"/>
        <w:numPr>
          <w:ilvl w:val="0"/>
          <w:numId w:val="12"/>
        </w:numPr>
        <w:spacing w:before="0"/>
        <w:rPr>
          <w:rFonts w:ascii="Times New Roman" w:hAnsi="Times New Roman"/>
        </w:rPr>
      </w:pPr>
      <w:r w:rsidRPr="002E64C7">
        <w:rPr>
          <w:rFonts w:ascii="Times New Roman" w:hAnsi="Times New Roman"/>
        </w:rPr>
        <w:t>internal responsibilities, competent authorities and other external parties involved</w:t>
      </w:r>
    </w:p>
    <w:p w:rsidR="00BD0293" w:rsidRPr="002E64C7" w:rsidRDefault="00BD0293" w:rsidP="002E64C7">
      <w:pPr>
        <w:pStyle w:val="Listenabsatz"/>
        <w:numPr>
          <w:ilvl w:val="0"/>
          <w:numId w:val="12"/>
        </w:numPr>
        <w:spacing w:before="0"/>
        <w:rPr>
          <w:rFonts w:ascii="Times New Roman" w:hAnsi="Times New Roman"/>
        </w:rPr>
      </w:pPr>
      <w:r w:rsidRPr="002E64C7">
        <w:rPr>
          <w:rFonts w:ascii="Times New Roman" w:hAnsi="Times New Roman"/>
        </w:rPr>
        <w:t>essential timing and publication requirements</w:t>
      </w:r>
    </w:p>
    <w:p w:rsidR="00BD0293" w:rsidRPr="002E64C7" w:rsidRDefault="00BD0293" w:rsidP="002E64C7">
      <w:pPr>
        <w:pStyle w:val="Listenabsatz"/>
        <w:numPr>
          <w:ilvl w:val="0"/>
          <w:numId w:val="12"/>
        </w:numPr>
        <w:spacing w:before="0"/>
        <w:rPr>
          <w:rFonts w:ascii="Times New Roman" w:hAnsi="Times New Roman"/>
        </w:rPr>
      </w:pPr>
      <w:r w:rsidRPr="002E64C7">
        <w:rPr>
          <w:rFonts w:ascii="Times New Roman" w:hAnsi="Times New Roman"/>
        </w:rPr>
        <w:t>major tax consequences</w:t>
      </w:r>
    </w:p>
    <w:p w:rsidR="002E64C7" w:rsidRDefault="00BD0293" w:rsidP="002E64C7">
      <w:pPr>
        <w:pStyle w:val="Listenabsatz"/>
        <w:numPr>
          <w:ilvl w:val="0"/>
          <w:numId w:val="12"/>
        </w:numPr>
        <w:spacing w:before="0"/>
        <w:rPr>
          <w:rFonts w:ascii="Times New Roman" w:hAnsi="Times New Roman"/>
        </w:rPr>
      </w:pPr>
      <w:proofErr w:type="gramStart"/>
      <w:r w:rsidRPr="002E64C7">
        <w:rPr>
          <w:rFonts w:ascii="Times New Roman" w:hAnsi="Times New Roman"/>
        </w:rPr>
        <w:t>employee</w:t>
      </w:r>
      <w:proofErr w:type="gramEnd"/>
      <w:r w:rsidRPr="002E64C7">
        <w:rPr>
          <w:rFonts w:ascii="Times New Roman" w:hAnsi="Times New Roman"/>
        </w:rPr>
        <w:t xml:space="preserve"> representation requirements.</w:t>
      </w:r>
    </w:p>
    <w:p w:rsidR="002E64C7" w:rsidRDefault="002E64C7">
      <w:pPr>
        <w:spacing w:before="0" w:after="200" w:line="276" w:lineRule="auto"/>
        <w:rPr>
          <w:rFonts w:ascii="Times New Roman" w:hAnsi="Times New Roman"/>
        </w:rPr>
      </w:pPr>
      <w:r>
        <w:rPr>
          <w:rFonts w:ascii="Times New Roman" w:hAnsi="Times New Roman"/>
        </w:rPr>
        <w:br w:type="page"/>
      </w:r>
    </w:p>
    <w:p w:rsidR="00BD0293" w:rsidRPr="00BD0293" w:rsidRDefault="00BD0293" w:rsidP="00BD0293">
      <w:pPr>
        <w:spacing w:before="0"/>
        <w:rPr>
          <w:rFonts w:ascii="Times New Roman" w:hAnsi="Times New Roman"/>
          <w:szCs w:val="22"/>
        </w:rPr>
      </w:pPr>
      <w:r w:rsidRPr="00BD0293">
        <w:rPr>
          <w:rFonts w:ascii="Times New Roman" w:hAnsi="Times New Roman"/>
          <w:szCs w:val="22"/>
        </w:rPr>
        <w:lastRenderedPageBreak/>
        <w:t xml:space="preserve">First published in 2011 and now available as an e-guide on </w:t>
      </w:r>
      <w:hyperlink r:id="rId8" w:history="1">
        <w:r w:rsidR="008968C3" w:rsidRPr="000D580A">
          <w:rPr>
            <w:rStyle w:val="Hyperlink"/>
          </w:rPr>
          <w:t>http://eguides.cmslegal.com</w:t>
        </w:r>
      </w:hyperlink>
      <w:r w:rsidRPr="00BD0293">
        <w:rPr>
          <w:rFonts w:ascii="Times New Roman" w:hAnsi="Times New Roman"/>
          <w:szCs w:val="22"/>
        </w:rPr>
        <w:t>, the 2</w:t>
      </w:r>
      <w:r w:rsidRPr="00BD0293">
        <w:rPr>
          <w:rFonts w:ascii="Times New Roman" w:hAnsi="Times New Roman"/>
          <w:szCs w:val="22"/>
          <w:vertAlign w:val="superscript"/>
        </w:rPr>
        <w:t>nd</w:t>
      </w:r>
      <w:r w:rsidRPr="00BD0293">
        <w:rPr>
          <w:rFonts w:ascii="Times New Roman" w:hAnsi="Times New Roman"/>
          <w:szCs w:val="22"/>
        </w:rPr>
        <w:t xml:space="preserve"> edition provides fully updated and expanded content on 19 European countries. Each </w:t>
      </w:r>
      <w:r w:rsidRPr="00BD0293">
        <w:rPr>
          <w:rFonts w:ascii="Times New Roman" w:hAnsi="Times New Roman"/>
        </w:rPr>
        <w:t>national overview includes a standard template and a simplified timeline of the transaction milestones required in each jurisdiction. Users can use the guide’s online planning tool to access and adapt the timelines to suit the needs of individual projects.</w:t>
      </w:r>
    </w:p>
    <w:p w:rsidR="00BD0293" w:rsidRPr="00BD0293" w:rsidRDefault="00BD0293" w:rsidP="00BD0293">
      <w:pPr>
        <w:spacing w:before="0"/>
        <w:rPr>
          <w:rFonts w:ascii="Times New Roman" w:hAnsi="Times New Roman"/>
          <w:szCs w:val="22"/>
        </w:rPr>
      </w:pPr>
      <w:r w:rsidRPr="00BD0293">
        <w:rPr>
          <w:rFonts w:ascii="Times New Roman" w:hAnsi="Times New Roman"/>
          <w:szCs w:val="22"/>
        </w:rPr>
        <w:t>Peter Huber, Managing Partner and head of the international transactions team at CMS in Vienna, commented, “Cross-border mergers are complex transactions that require careful planning from the outset, particularly due to the still existing national regulations, which have not been harmonised and may differ greatly. The updated CMS guide builds on the experience we have gained in many years of advising on such transactions and especially highlights the practical aspects of handling a deal.”</w:t>
      </w:r>
    </w:p>
    <w:p w:rsidR="00285708" w:rsidRPr="00BD0293" w:rsidRDefault="00BD0293" w:rsidP="00BD0293">
      <w:pPr>
        <w:rPr>
          <w:rFonts w:ascii="Times New Roman" w:hAnsi="Times New Roman"/>
          <w:szCs w:val="22"/>
        </w:rPr>
      </w:pPr>
      <w:r w:rsidRPr="00BD0293">
        <w:rPr>
          <w:rFonts w:ascii="Times New Roman" w:hAnsi="Times New Roman"/>
          <w:szCs w:val="22"/>
        </w:rPr>
        <w:t>Countries covered in the guide: Austria, Belgium, Bulgaria, Croatia, Czech Republic, France, Germany, Hungary, Italy, Luxembourg, Netherlands, Poland, Portugal, Romania, Slovakia, Slovenia, Spain, Switzerland, and United Kingdom.</w:t>
      </w:r>
    </w:p>
    <w:p w:rsidR="00BD0293" w:rsidRDefault="00BD0293" w:rsidP="00BD0293">
      <w:pPr>
        <w:rPr>
          <w:rStyle w:val="Hyperlink"/>
          <w:rFonts w:ascii="Times New Roman" w:hAnsi="Times New Roman"/>
          <w:lang w:val="en-US"/>
        </w:rPr>
      </w:pPr>
      <w:r w:rsidRPr="00BD0293">
        <w:rPr>
          <w:rFonts w:ascii="Times New Roman" w:hAnsi="Times New Roman"/>
          <w:lang w:val="en-US"/>
        </w:rPr>
        <w:t xml:space="preserve">Guide to Cross-Border Mergers </w:t>
      </w:r>
      <w:r w:rsidR="002E64C7">
        <w:rPr>
          <w:rFonts w:ascii="Times New Roman" w:hAnsi="Times New Roman"/>
          <w:lang w:val="en-US"/>
        </w:rPr>
        <w:t xml:space="preserve">and online transaction </w:t>
      </w:r>
      <w:r w:rsidRPr="00BD0293">
        <w:rPr>
          <w:rFonts w:ascii="Times New Roman" w:hAnsi="Times New Roman"/>
          <w:lang w:val="en-US"/>
        </w:rPr>
        <w:t>pla</w:t>
      </w:r>
      <w:r w:rsidR="002E64C7">
        <w:rPr>
          <w:rFonts w:ascii="Times New Roman" w:hAnsi="Times New Roman"/>
          <w:lang w:val="en-US"/>
        </w:rPr>
        <w:t>n</w:t>
      </w:r>
      <w:r w:rsidRPr="00BD0293">
        <w:rPr>
          <w:rFonts w:ascii="Times New Roman" w:hAnsi="Times New Roman"/>
          <w:lang w:val="en-US"/>
        </w:rPr>
        <w:t>ner</w:t>
      </w:r>
      <w:r w:rsidRPr="00BD0293">
        <w:rPr>
          <w:rFonts w:ascii="Times New Roman" w:hAnsi="Times New Roman"/>
          <w:b/>
          <w:lang w:val="en-US"/>
        </w:rPr>
        <w:t xml:space="preserve">: </w:t>
      </w:r>
      <w:hyperlink r:id="rId9" w:history="1">
        <w:r w:rsidRPr="00BD0293">
          <w:rPr>
            <w:rStyle w:val="Hyperlink"/>
            <w:rFonts w:ascii="Times New Roman" w:hAnsi="Times New Roman"/>
            <w:lang w:val="en-US"/>
          </w:rPr>
          <w:t>http://eguides.cmslegal.com</w:t>
        </w:r>
      </w:hyperlink>
    </w:p>
    <w:p w:rsidR="00CC0A25" w:rsidRDefault="00CC0A25" w:rsidP="00BD0293">
      <w:pPr>
        <w:rPr>
          <w:rStyle w:val="Hyperlink"/>
          <w:rFonts w:ascii="Times New Roman" w:hAnsi="Times New Roman"/>
          <w:lang w:val="en-US"/>
        </w:rPr>
      </w:pPr>
    </w:p>
    <w:p w:rsidR="00CC0A25" w:rsidRPr="00BD0293" w:rsidRDefault="00CC0A25" w:rsidP="00BD0293">
      <w:pPr>
        <w:rPr>
          <w:rFonts w:ascii="Times New Roman" w:hAnsi="Times New Roman"/>
          <w:lang w:val="en-US"/>
        </w:rPr>
      </w:pPr>
      <w:hyperlink r:id="rId10" w:history="1">
        <w:proofErr w:type="spellStart"/>
        <w:r w:rsidRPr="00CC0A25">
          <w:rPr>
            <w:rStyle w:val="Hyperlink"/>
            <w:rFonts w:ascii="Times New Roman" w:hAnsi="Times New Roman"/>
            <w:lang w:val="en-US"/>
          </w:rPr>
          <w:t>Foto</w:t>
        </w:r>
        <w:proofErr w:type="spellEnd"/>
        <w:r w:rsidRPr="00CC0A25">
          <w:rPr>
            <w:rStyle w:val="Hyperlink"/>
            <w:rFonts w:ascii="Times New Roman" w:hAnsi="Times New Roman"/>
            <w:lang w:val="en-US"/>
          </w:rPr>
          <w:t xml:space="preserve"> Peter Huber</w:t>
        </w:r>
      </w:hyperlink>
      <w:bookmarkStart w:id="0" w:name="_GoBack"/>
      <w:bookmarkEnd w:id="0"/>
    </w:p>
    <w:p w:rsidR="002D43E2" w:rsidRPr="002D43E2" w:rsidRDefault="002D43E2" w:rsidP="002D43E2">
      <w:pPr>
        <w:pStyle w:val="Textkrper"/>
        <w:jc w:val="center"/>
        <w:rPr>
          <w:rFonts w:ascii="Times New Roman" w:hAnsi="Times New Roman"/>
          <w:b/>
        </w:rPr>
      </w:pPr>
      <w:r w:rsidRPr="002D43E2">
        <w:rPr>
          <w:rFonts w:ascii="Times New Roman" w:hAnsi="Times New Roman"/>
          <w:b/>
        </w:rPr>
        <w:t>- END -</w:t>
      </w:r>
    </w:p>
    <w:p w:rsidR="002D43E2" w:rsidRPr="002D43E2" w:rsidRDefault="002D43E2" w:rsidP="002D43E2">
      <w:pPr>
        <w:tabs>
          <w:tab w:val="left" w:pos="3079"/>
        </w:tabs>
        <w:ind w:left="360" w:hanging="360"/>
        <w:rPr>
          <w:rFonts w:ascii="Times New Roman" w:hAnsi="Times New Roman"/>
          <w:b/>
        </w:rPr>
      </w:pPr>
      <w:r w:rsidRPr="002D43E2">
        <w:rPr>
          <w:rFonts w:ascii="Times New Roman" w:hAnsi="Times New Roman"/>
          <w:b/>
        </w:rPr>
        <w:t>Contact:</w:t>
      </w:r>
    </w:p>
    <w:p w:rsidR="002D43E2" w:rsidRPr="002D43E2" w:rsidRDefault="002D43E2" w:rsidP="002D43E2">
      <w:pPr>
        <w:pStyle w:val="Textkrper"/>
        <w:contextualSpacing/>
        <w:jc w:val="left"/>
        <w:rPr>
          <w:rFonts w:ascii="Times New Roman" w:hAnsi="Times New Roman"/>
          <w:b/>
        </w:rPr>
      </w:pPr>
      <w:r w:rsidRPr="002D43E2">
        <w:rPr>
          <w:rFonts w:ascii="Times New Roman" w:hAnsi="Times New Roman"/>
          <w:b/>
        </w:rPr>
        <w:t>Mag. Kristijana Lastro</w:t>
      </w:r>
    </w:p>
    <w:p w:rsidR="002D43E2" w:rsidRPr="002D43E2" w:rsidRDefault="002D43E2" w:rsidP="002D43E2">
      <w:pPr>
        <w:pStyle w:val="Textkrper"/>
        <w:contextualSpacing/>
        <w:rPr>
          <w:rFonts w:ascii="Times New Roman" w:hAnsi="Times New Roman"/>
        </w:rPr>
      </w:pPr>
      <w:r w:rsidRPr="002D43E2">
        <w:rPr>
          <w:rFonts w:ascii="Times New Roman" w:hAnsi="Times New Roman"/>
        </w:rPr>
        <w:t>Head of Marketing &amp; Communications</w:t>
      </w:r>
    </w:p>
    <w:p w:rsidR="002D43E2" w:rsidRPr="002930C9" w:rsidRDefault="002D43E2" w:rsidP="002D43E2">
      <w:pPr>
        <w:pStyle w:val="Textkrper"/>
        <w:contextualSpacing/>
        <w:rPr>
          <w:rFonts w:ascii="Times New Roman" w:hAnsi="Times New Roman"/>
          <w:lang w:val="de-AT"/>
        </w:rPr>
      </w:pPr>
      <w:r w:rsidRPr="002930C9">
        <w:rPr>
          <w:rFonts w:ascii="Times New Roman" w:hAnsi="Times New Roman"/>
          <w:lang w:val="de-AT"/>
        </w:rPr>
        <w:t>T +43 1 40443 4000</w:t>
      </w:r>
    </w:p>
    <w:p w:rsidR="002D43E2" w:rsidRPr="002D43E2" w:rsidRDefault="002D43E2" w:rsidP="002D43E2">
      <w:pPr>
        <w:pStyle w:val="Textkrper"/>
        <w:contextualSpacing/>
        <w:jc w:val="left"/>
        <w:rPr>
          <w:rFonts w:ascii="Times New Roman" w:hAnsi="Times New Roman"/>
          <w:lang w:val="de-AT"/>
        </w:rPr>
      </w:pPr>
      <w:r w:rsidRPr="002D43E2">
        <w:rPr>
          <w:rFonts w:ascii="Times New Roman" w:hAnsi="Times New Roman"/>
          <w:lang w:val="de-AT"/>
        </w:rPr>
        <w:t>E kristijana.lastro@cms-rrh.com</w:t>
      </w:r>
    </w:p>
    <w:p w:rsidR="002D43E2" w:rsidRPr="00D24AEC" w:rsidRDefault="002D43E2" w:rsidP="002D43E2">
      <w:pPr>
        <w:tabs>
          <w:tab w:val="left" w:pos="3079"/>
        </w:tabs>
        <w:ind w:left="360" w:hanging="360"/>
        <w:rPr>
          <w:b/>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09"/>
      </w:tblGrid>
      <w:tr w:rsidR="002D43E2" w:rsidRPr="00D87296" w:rsidTr="00EC764B">
        <w:trPr>
          <w:trHeight w:val="917"/>
        </w:trPr>
        <w:tc>
          <w:tcPr>
            <w:tcW w:w="1101" w:type="dxa"/>
          </w:tcPr>
          <w:p w:rsidR="002D43E2" w:rsidRDefault="002D43E2" w:rsidP="00EC764B">
            <w:pPr>
              <w:jc w:val="both"/>
              <w:rPr>
                <w:lang w:val="de-AT"/>
              </w:rPr>
            </w:pPr>
            <w:r>
              <w:rPr>
                <w:rFonts w:ascii="Verdana" w:hAnsi="Verdana"/>
                <w:noProof/>
                <w:color w:val="000000"/>
                <w:sz w:val="15"/>
                <w:szCs w:val="15"/>
                <w:lang w:val="de-AT" w:eastAsia="de-AT"/>
              </w:rPr>
              <w:drawing>
                <wp:inline distT="0" distB="0" distL="0" distR="0" wp14:anchorId="59233A92" wp14:editId="378AD904">
                  <wp:extent cx="476885" cy="397510"/>
                  <wp:effectExtent l="0" t="0" r="0" b="2540"/>
                  <wp:docPr id="9" name="Grafik 9" descr="cid:image004.png@01CE6911.79B21EC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6911.79B21E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tc>
        <w:tc>
          <w:tcPr>
            <w:tcW w:w="8109" w:type="dxa"/>
          </w:tcPr>
          <w:p w:rsidR="002D43E2" w:rsidRPr="002D43E2" w:rsidRDefault="002D43E2" w:rsidP="00EC764B">
            <w:pPr>
              <w:jc w:val="both"/>
              <w:rPr>
                <w:rFonts w:ascii="Times New Roman" w:hAnsi="Times New Roman"/>
              </w:rPr>
            </w:pPr>
            <w:r w:rsidRPr="002D43E2">
              <w:rPr>
                <w:rFonts w:ascii="Times New Roman" w:hAnsi="Times New Roman"/>
                <w:color w:val="000000"/>
              </w:rPr>
              <w:t>CMS Reich-Rohrwig Hainz is blogging! Current, relevant and interesting articles from over 20 areas of expertise are available at</w:t>
            </w:r>
            <w:r w:rsidRPr="002D43E2">
              <w:rPr>
                <w:rFonts w:ascii="Times New Roman" w:hAnsi="Times New Roman"/>
                <w:color w:val="000000"/>
                <w:szCs w:val="22"/>
              </w:rPr>
              <w:t xml:space="preserve"> </w:t>
            </w:r>
            <w:hyperlink r:id="rId14" w:history="1">
              <w:r w:rsidRPr="002D43E2">
                <w:rPr>
                  <w:rStyle w:val="Hyperlink"/>
                  <w:rFonts w:ascii="Times New Roman" w:hAnsi="Times New Roman"/>
                  <w:szCs w:val="22"/>
                </w:rPr>
                <w:t>http://blog.cms-rrh.com</w:t>
              </w:r>
            </w:hyperlink>
          </w:p>
        </w:tc>
      </w:tr>
    </w:tbl>
    <w:p w:rsidR="002D43E2" w:rsidRPr="002D43E2" w:rsidRDefault="002D43E2" w:rsidP="002D43E2">
      <w:pPr>
        <w:jc w:val="both"/>
        <w:rPr>
          <w:rFonts w:ascii="Times New Roman" w:hAnsi="Times New Roman"/>
          <w:b/>
          <w:sz w:val="18"/>
          <w:szCs w:val="18"/>
        </w:rPr>
      </w:pPr>
      <w:r w:rsidRPr="002D43E2">
        <w:rPr>
          <w:rFonts w:ascii="Times New Roman" w:hAnsi="Times New Roman"/>
          <w:b/>
          <w:sz w:val="18"/>
          <w:szCs w:val="18"/>
        </w:rPr>
        <w:t>About CMS Reich-Rohrwig Hainz</w:t>
      </w:r>
    </w:p>
    <w:p w:rsidR="002D43E2" w:rsidRDefault="00F77924" w:rsidP="002D43E2">
      <w:pPr>
        <w:jc w:val="both"/>
        <w:rPr>
          <w:rFonts w:ascii="Times New Roman" w:hAnsi="Times New Roman"/>
          <w:sz w:val="18"/>
          <w:szCs w:val="18"/>
        </w:rPr>
      </w:pPr>
      <w:r w:rsidRPr="00F77924">
        <w:rPr>
          <w:rFonts w:ascii="Times New Roman" w:hAnsi="Times New Roman"/>
          <w:sz w:val="18"/>
          <w:szCs w:val="18"/>
        </w:rPr>
        <w:t>CMS Reich-Rohrwig Hainz is one of the leading law firms in Austria and Southeast Europe. Because we are specialists, our lawyers and tax advisors are able to provide you with advice of the highest calibre and sophistication: both, from a legal perspective as well as through our industry specific know-how. Highly-specialized teams consisting of internationally experienced lawyers primarily provide services in the following fields of law: M&amp;A, banking and finance, real estate, construction law, taxes, labour laws, IP and IT laws, and public procurement. We operate offices in Vienna, Belgrade, Bratislava, Brussels, Istanbul, Kiev, Ljubljana, Podgorica, Sarajevo, Sofia and Zagreb. All CMS offices together offer clients a team of more than 600 experienced specialists in 15 offices across the CEE/SEE region.</w:t>
      </w:r>
      <w:r w:rsidR="002D43E2" w:rsidRPr="002D43E2">
        <w:rPr>
          <w:rFonts w:ascii="Times New Roman" w:hAnsi="Times New Roman"/>
          <w:sz w:val="18"/>
          <w:szCs w:val="18"/>
        </w:rPr>
        <w:t xml:space="preserve"> </w:t>
      </w:r>
      <w:hyperlink r:id="rId15" w:history="1">
        <w:r w:rsidR="002D43E2" w:rsidRPr="002D43E2">
          <w:rPr>
            <w:rStyle w:val="Hyperlink"/>
            <w:rFonts w:ascii="Times New Roman" w:hAnsi="Times New Roman"/>
            <w:sz w:val="18"/>
            <w:szCs w:val="18"/>
          </w:rPr>
          <w:t>www.cms-rrh.com</w:t>
        </w:r>
      </w:hyperlink>
      <w:r w:rsidR="002D43E2" w:rsidRPr="002D43E2">
        <w:rPr>
          <w:rFonts w:ascii="Times New Roman" w:hAnsi="Times New Roman"/>
          <w:sz w:val="18"/>
          <w:szCs w:val="18"/>
        </w:rPr>
        <w:t xml:space="preserve"> </w:t>
      </w:r>
    </w:p>
    <w:p w:rsidR="00B620EA" w:rsidRDefault="00B620EA" w:rsidP="002D43E2">
      <w:pPr>
        <w:jc w:val="both"/>
        <w:rPr>
          <w:rFonts w:ascii="Times New Roman" w:hAnsi="Times New Roman"/>
          <w:sz w:val="18"/>
          <w:szCs w:val="18"/>
        </w:rPr>
      </w:pPr>
    </w:p>
    <w:p w:rsidR="005C3756" w:rsidRDefault="005C3756" w:rsidP="002D43E2">
      <w:pPr>
        <w:jc w:val="both"/>
        <w:rPr>
          <w:rFonts w:ascii="Times New Roman" w:hAnsi="Times New Roman"/>
          <w:sz w:val="18"/>
          <w:szCs w:val="18"/>
        </w:rPr>
      </w:pPr>
    </w:p>
    <w:p w:rsidR="005C3756" w:rsidRPr="002D43E2" w:rsidRDefault="005C3756" w:rsidP="002D43E2">
      <w:pPr>
        <w:jc w:val="both"/>
        <w:rPr>
          <w:rFonts w:ascii="Times New Roman" w:hAnsi="Times New Roman"/>
          <w:sz w:val="18"/>
          <w:szCs w:val="18"/>
        </w:rPr>
      </w:pPr>
    </w:p>
    <w:p w:rsidR="002D43E2" w:rsidRPr="002D43E2" w:rsidRDefault="002D43E2" w:rsidP="002D43E2">
      <w:pPr>
        <w:jc w:val="both"/>
        <w:rPr>
          <w:rFonts w:ascii="Times New Roman" w:hAnsi="Times New Roman"/>
          <w:b/>
          <w:sz w:val="18"/>
          <w:szCs w:val="18"/>
        </w:rPr>
      </w:pPr>
      <w:r w:rsidRPr="002D43E2">
        <w:rPr>
          <w:rFonts w:ascii="Times New Roman" w:hAnsi="Times New Roman"/>
          <w:b/>
          <w:sz w:val="18"/>
          <w:szCs w:val="18"/>
        </w:rPr>
        <w:t>About CMS</w:t>
      </w:r>
    </w:p>
    <w:p w:rsidR="00F77924" w:rsidRPr="00F77924" w:rsidRDefault="00F77924" w:rsidP="00F77924">
      <w:pPr>
        <w:jc w:val="both"/>
        <w:rPr>
          <w:rFonts w:ascii="Times New Roman" w:hAnsi="Times New Roman"/>
          <w:sz w:val="18"/>
          <w:szCs w:val="18"/>
        </w:rPr>
      </w:pPr>
      <w:r w:rsidRPr="00F77924">
        <w:rPr>
          <w:rFonts w:ascii="Times New Roman" w:hAnsi="Times New Roman"/>
          <w:sz w:val="18"/>
          <w:szCs w:val="18"/>
        </w:rPr>
        <w:t xml:space="preserve">CMS provides clients with specialist, business focused advice in law and tax matters. With our </w:t>
      </w:r>
      <w:r w:rsidR="00B439B6">
        <w:rPr>
          <w:rFonts w:ascii="Times New Roman" w:hAnsi="Times New Roman"/>
          <w:sz w:val="18"/>
          <w:szCs w:val="18"/>
        </w:rPr>
        <w:t>3</w:t>
      </w:r>
      <w:r w:rsidRPr="00F77924">
        <w:rPr>
          <w:rFonts w:ascii="Times New Roman" w:hAnsi="Times New Roman"/>
          <w:sz w:val="18"/>
          <w:szCs w:val="18"/>
        </w:rPr>
        <w:t>,</w:t>
      </w:r>
      <w:r w:rsidR="00B439B6">
        <w:rPr>
          <w:rFonts w:ascii="Times New Roman" w:hAnsi="Times New Roman"/>
          <w:sz w:val="18"/>
          <w:szCs w:val="18"/>
        </w:rPr>
        <w:t>0</w:t>
      </w:r>
      <w:r w:rsidRPr="00F77924">
        <w:rPr>
          <w:rFonts w:ascii="Times New Roman" w:hAnsi="Times New Roman"/>
          <w:sz w:val="18"/>
          <w:szCs w:val="18"/>
        </w:rPr>
        <w:t xml:space="preserve">00 legal professionals across the world, working in sector-based teams and trained in project management, our focus is on our clients and fulfilling their objectives. </w:t>
      </w:r>
    </w:p>
    <w:p w:rsidR="002D43E2" w:rsidRPr="002D43E2" w:rsidRDefault="00F77924" w:rsidP="00F77924">
      <w:pPr>
        <w:jc w:val="both"/>
        <w:rPr>
          <w:rFonts w:ascii="Times New Roman" w:hAnsi="Times New Roman"/>
          <w:sz w:val="18"/>
          <w:szCs w:val="18"/>
        </w:rPr>
      </w:pPr>
      <w:r w:rsidRPr="00F77924">
        <w:rPr>
          <w:rFonts w:ascii="Times New Roman" w:hAnsi="Times New Roman"/>
          <w:sz w:val="18"/>
          <w:szCs w:val="18"/>
        </w:rPr>
        <w:t>In a competitive legal market, we stand apart through our deep commitment to understanding our clients´ business and the sectors and countries in which we operate. From major multinationals and mid-caps to enterprising start-ups, we provide the technical rigour, strategic excellence and long-term partnership to keep each client ahead whatever its chosen markets.</w:t>
      </w:r>
      <w:r w:rsidR="002D43E2" w:rsidRPr="002D43E2">
        <w:rPr>
          <w:rFonts w:ascii="Times New Roman" w:hAnsi="Times New Roman"/>
          <w:sz w:val="18"/>
          <w:szCs w:val="18"/>
        </w:rPr>
        <w:t xml:space="preserve"> For more information, please visit </w:t>
      </w:r>
      <w:hyperlink r:id="rId16" w:history="1">
        <w:r w:rsidR="002D43E2" w:rsidRPr="002D43E2">
          <w:rPr>
            <w:rStyle w:val="Hyperlink"/>
            <w:rFonts w:ascii="Times New Roman" w:hAnsi="Times New Roman"/>
            <w:sz w:val="18"/>
            <w:szCs w:val="18"/>
          </w:rPr>
          <w:t>www.cmslegal.com</w:t>
        </w:r>
      </w:hyperlink>
      <w:r w:rsidR="002D43E2" w:rsidRPr="002D43E2">
        <w:rPr>
          <w:rFonts w:ascii="Times New Roman" w:hAnsi="Times New Roman"/>
          <w:sz w:val="18"/>
          <w:szCs w:val="18"/>
        </w:rPr>
        <w:t xml:space="preserve">. </w:t>
      </w:r>
    </w:p>
    <w:p w:rsidR="008B0BA9" w:rsidRPr="002D43E2" w:rsidRDefault="008B0BA9" w:rsidP="002D43E2">
      <w:pPr>
        <w:rPr>
          <w:rFonts w:ascii="Times New Roman" w:hAnsi="Times New Roman"/>
          <w:sz w:val="18"/>
          <w:szCs w:val="18"/>
        </w:rPr>
      </w:pPr>
    </w:p>
    <w:sectPr w:rsidR="008B0BA9" w:rsidRPr="002D43E2" w:rsidSect="000151E1">
      <w:headerReference w:type="default" r:id="rId17"/>
      <w:footerReference w:type="default" r:id="rId18"/>
      <w:headerReference w:type="first" r:id="rId19"/>
      <w:footerReference w:type="first" r:id="rId20"/>
      <w:pgSz w:w="11906" w:h="16838"/>
      <w:pgMar w:top="195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CB" w:rsidRDefault="00FD4DCB" w:rsidP="003F74BE">
      <w:pPr>
        <w:spacing w:line="240" w:lineRule="auto"/>
      </w:pPr>
      <w:r>
        <w:separator/>
      </w:r>
    </w:p>
  </w:endnote>
  <w:endnote w:type="continuationSeparator" w:id="0">
    <w:p w:rsidR="00FD4DCB" w:rsidRDefault="00FD4DCB"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982417" w:rsidRDefault="000151E1" w:rsidP="00982417">
    <w:pPr>
      <w:pStyle w:val="Fuzeile"/>
      <w:rPr>
        <w:rFonts w:ascii="Arial" w:hAnsi="Arial" w:cs="Arial"/>
        <w:sz w:val="13"/>
        <w:szCs w:val="13"/>
      </w:rPr>
    </w:pPr>
    <w:r>
      <w:rPr>
        <w:rFonts w:ascii="Arial" w:hAnsi="Arial" w:cs="Arial"/>
        <w:sz w:val="13"/>
        <w:szCs w:val="13"/>
      </w:rPr>
      <w:t xml:space="preserve">Page </w:t>
    </w:r>
    <w:r w:rsidR="00982417" w:rsidRPr="00982417">
      <w:rPr>
        <w:rFonts w:ascii="Arial" w:hAnsi="Arial" w:cs="Arial"/>
        <w:sz w:val="13"/>
        <w:szCs w:val="13"/>
      </w:rPr>
      <w:fldChar w:fldCharType="begin"/>
    </w:r>
    <w:r w:rsidR="00982417" w:rsidRPr="00982417">
      <w:rPr>
        <w:rFonts w:ascii="Arial" w:hAnsi="Arial" w:cs="Arial"/>
        <w:sz w:val="13"/>
        <w:szCs w:val="13"/>
      </w:rPr>
      <w:instrText>PAGE   \* MERGEFORMAT</w:instrText>
    </w:r>
    <w:r w:rsidR="00982417" w:rsidRPr="00982417">
      <w:rPr>
        <w:rFonts w:ascii="Arial" w:hAnsi="Arial" w:cs="Arial"/>
        <w:sz w:val="13"/>
        <w:szCs w:val="13"/>
      </w:rPr>
      <w:fldChar w:fldCharType="separate"/>
    </w:r>
    <w:r w:rsidR="00CC0A25" w:rsidRPr="00CC0A25">
      <w:rPr>
        <w:rFonts w:ascii="Arial" w:hAnsi="Arial" w:cs="Arial"/>
        <w:noProof/>
        <w:sz w:val="13"/>
        <w:szCs w:val="13"/>
        <w:lang w:val="de-DE"/>
      </w:rPr>
      <w:t>3</w:t>
    </w:r>
    <w:r w:rsidR="00982417" w:rsidRPr="00982417">
      <w:rPr>
        <w:rFonts w:ascii="Arial" w:hAnsi="Arial" w:cs="Arial"/>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E1" w:rsidRPr="00075CA2" w:rsidRDefault="000151E1" w:rsidP="000151E1">
    <w:pPr>
      <w:pStyle w:val="Fuzeile1"/>
      <w:pBdr>
        <w:top w:val="single" w:sz="4" w:space="3" w:color="auto"/>
      </w:pBdr>
      <w:rPr>
        <w:rStyle w:val="Third"/>
      </w:rPr>
    </w:pPr>
    <w:r w:rsidRPr="00075CA2">
      <w:rPr>
        <w:rStyle w:val="Third"/>
      </w:rPr>
      <w:t>A list of all lawyers at CMS Reich-Rohrwig Hainz is published online at www.cms-rrh.com/disclaimer.</w:t>
    </w:r>
    <w:r>
      <w:rPr>
        <w:rStyle w:val="Third"/>
      </w:rPr>
      <w:t xml:space="preserve"> </w:t>
    </w:r>
    <w:r w:rsidRPr="00075CA2">
      <w:rPr>
        <w:rStyle w:val="Third"/>
      </w:rPr>
      <w:t>CMS Reich-Rohrwig Hainz is a member of CMS, the organisation of European law firms. In certain circumstances, CMS is used as a brand or business name of some or all of the member firms. Further information can be found at www.cmslegal.com.</w:t>
    </w:r>
  </w:p>
  <w:p w:rsidR="00F64D74" w:rsidRPr="000D75FE" w:rsidRDefault="000D75FE" w:rsidP="000151E1">
    <w:pPr>
      <w:pStyle w:val="Fuzeile1"/>
      <w:pBdr>
        <w:top w:val="single" w:sz="4" w:space="3" w:color="auto"/>
      </w:pBdr>
      <w:rPr>
        <w:rStyle w:val="Third"/>
        <w:lang w:val="en-US"/>
      </w:rPr>
    </w:pPr>
    <w:r w:rsidRPr="000D75FE">
      <w:rPr>
        <w:rFonts w:ascii="Arial" w:hAnsi="Arial" w:cs="Arial"/>
        <w:b/>
        <w:bCs/>
        <w:lang w:val="en-US"/>
      </w:rPr>
      <w:t>CMS locations:</w:t>
    </w:r>
    <w:r w:rsidRPr="000D75FE">
      <w:rPr>
        <w:rFonts w:ascii="Arial" w:hAnsi="Arial" w:cs="Arial"/>
        <w:bCs/>
        <w:lang w:val="en-US"/>
      </w:rPr>
      <w:t xml:space="preserve"> Aberdeen, Algiers, Amsterdam, Antwerp, Barcelona, Beijing, Belgrade, Berlin, Bratislava, Bristol, Brussels, Bucharest, Budapest, Casablanca, Cologne, Dubai, </w:t>
    </w:r>
    <w:proofErr w:type="spellStart"/>
    <w:r w:rsidRPr="000D75FE">
      <w:rPr>
        <w:rFonts w:ascii="Arial" w:hAnsi="Arial" w:cs="Arial"/>
        <w:bCs/>
        <w:lang w:val="en-US"/>
      </w:rPr>
      <w:t>Duesseldorf</w:t>
    </w:r>
    <w:proofErr w:type="spellEnd"/>
    <w:r w:rsidRPr="000D75FE">
      <w:rPr>
        <w:rFonts w:ascii="Arial" w:hAnsi="Arial" w:cs="Arial"/>
        <w:bCs/>
        <w:lang w:val="en-US"/>
      </w:rPr>
      <w:t>, Edinburgh, Frankfurt, Geneva, Glasgow, Hamburg, Istanbul, Kyiv, Leipzig, Lisbon, Ljubljana, London, Luxembourg, Lyon, Madrid, Mexico City, Milan, Moscow, Munich, Muscat, Paris, Podgorica, Prague, Rio de Janeiro, Rome, Sarajevo, Seville, Shanghai, Sofia, Strasbourg, Stuttgart, Tirana, Utrecht, Vienna, Warsaw, Zagreb and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CB" w:rsidRDefault="00FD4DCB" w:rsidP="003F74BE">
      <w:pPr>
        <w:spacing w:line="240" w:lineRule="auto"/>
      </w:pPr>
      <w:r>
        <w:separator/>
      </w:r>
    </w:p>
  </w:footnote>
  <w:footnote w:type="continuationSeparator" w:id="0">
    <w:p w:rsidR="00FD4DCB" w:rsidRDefault="00FD4DCB" w:rsidP="003F7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B35311" w:rsidRDefault="000151E1" w:rsidP="0031351D">
    <w:pPr>
      <w:autoSpaceDE w:val="0"/>
      <w:autoSpaceDN w:val="0"/>
      <w:adjustRightInd w:val="0"/>
      <w:spacing w:line="240" w:lineRule="auto"/>
      <w:ind w:left="7371" w:right="-284"/>
      <w:rPr>
        <w:rFonts w:ascii="Arial" w:hAnsi="Arial" w:cs="Arial"/>
        <w:b/>
        <w:bCs/>
        <w:color w:val="13294A"/>
        <w:sz w:val="15"/>
        <w:szCs w:val="15"/>
      </w:rPr>
    </w:pPr>
    <w:r>
      <w:rPr>
        <w:noProof/>
        <w:lang w:val="de-AT" w:eastAsia="de-AT"/>
      </w:rPr>
      <w:drawing>
        <wp:anchor distT="0" distB="0" distL="114300" distR="114300" simplePos="0" relativeHeight="251662848" behindDoc="0" locked="0" layoutInCell="1" allowOverlap="1" wp14:anchorId="124A3DCC" wp14:editId="45317853">
          <wp:simplePos x="0" y="0"/>
          <wp:positionH relativeFrom="column">
            <wp:posOffset>4881549</wp:posOffset>
          </wp:positionH>
          <wp:positionV relativeFrom="paragraph">
            <wp:posOffset>38735</wp:posOffset>
          </wp:positionV>
          <wp:extent cx="876095" cy="516128"/>
          <wp:effectExtent l="19050" t="0" r="205" b="0"/>
          <wp:wrapNone/>
          <wp:docPr id="4" name="Picture 4" descr="CMS_Logo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6095" cy="5161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7B794E" w:rsidRDefault="002D43E2">
    <w:pPr>
      <w:pStyle w:val="Kopfzeile"/>
    </w:pPr>
    <w:r>
      <w:rPr>
        <w:noProof/>
        <w:lang w:val="de-AT" w:eastAsia="de-AT"/>
      </w:rPr>
      <w:drawing>
        <wp:anchor distT="0" distB="0" distL="114300" distR="114300" simplePos="0" relativeHeight="251661824" behindDoc="0" locked="0" layoutInCell="1" allowOverlap="1" wp14:anchorId="3186BE55" wp14:editId="1940808C">
          <wp:simplePos x="0" y="0"/>
          <wp:positionH relativeFrom="column">
            <wp:posOffset>4501018</wp:posOffset>
          </wp:positionH>
          <wp:positionV relativeFrom="paragraph">
            <wp:posOffset>70788</wp:posOffset>
          </wp:positionV>
          <wp:extent cx="1095119" cy="645161"/>
          <wp:effectExtent l="0" t="0" r="0" b="2540"/>
          <wp:wrapNone/>
          <wp:docPr id="19"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sidR="00381838">
      <w:rPr>
        <w:noProof/>
        <w:lang w:val="de-AT" w:eastAsia="de-AT"/>
      </w:rPr>
      <mc:AlternateContent>
        <mc:Choice Requires="wps">
          <w:drawing>
            <wp:anchor distT="0" distB="0" distL="114300" distR="114300" simplePos="0" relativeHeight="251662336" behindDoc="0" locked="0" layoutInCell="1" allowOverlap="1" wp14:anchorId="3152BE4F" wp14:editId="4E5BAF1F">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8C8EF"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2">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3">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D166034"/>
    <w:multiLevelType w:val="hybridMultilevel"/>
    <w:tmpl w:val="896C9BF8"/>
    <w:lvl w:ilvl="0" w:tplc="72CA4EF6">
      <w:numFmt w:val="bullet"/>
      <w:lvlText w:val="•"/>
      <w:lvlJc w:val="left"/>
      <w:pPr>
        <w:ind w:left="1065" w:hanging="705"/>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8761F8"/>
    <w:multiLevelType w:val="hybridMultilevel"/>
    <w:tmpl w:val="8B12A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8"/>
  </w:num>
  <w:num w:numId="6">
    <w:abstractNumId w:val="8"/>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4A"/>
    <w:rsid w:val="00001140"/>
    <w:rsid w:val="000019D9"/>
    <w:rsid w:val="000151E1"/>
    <w:rsid w:val="00034836"/>
    <w:rsid w:val="0005096C"/>
    <w:rsid w:val="00053431"/>
    <w:rsid w:val="0006540A"/>
    <w:rsid w:val="00074FE9"/>
    <w:rsid w:val="00091E25"/>
    <w:rsid w:val="0009422C"/>
    <w:rsid w:val="000B275E"/>
    <w:rsid w:val="000B32F8"/>
    <w:rsid w:val="000C3EC5"/>
    <w:rsid w:val="000C6BD3"/>
    <w:rsid w:val="000D75FE"/>
    <w:rsid w:val="00100E58"/>
    <w:rsid w:val="00143ACB"/>
    <w:rsid w:val="00147E6C"/>
    <w:rsid w:val="00170041"/>
    <w:rsid w:val="00171F69"/>
    <w:rsid w:val="0019262B"/>
    <w:rsid w:val="00192C94"/>
    <w:rsid w:val="001A2AAA"/>
    <w:rsid w:val="001A49D6"/>
    <w:rsid w:val="001C31C6"/>
    <w:rsid w:val="001D2E88"/>
    <w:rsid w:val="001D5DAA"/>
    <w:rsid w:val="001F2F35"/>
    <w:rsid w:val="002524ED"/>
    <w:rsid w:val="0026218E"/>
    <w:rsid w:val="00283DDE"/>
    <w:rsid w:val="00285708"/>
    <w:rsid w:val="00291D2A"/>
    <w:rsid w:val="002930C9"/>
    <w:rsid w:val="00294C4F"/>
    <w:rsid w:val="002A24E6"/>
    <w:rsid w:val="002A38DE"/>
    <w:rsid w:val="002C2012"/>
    <w:rsid w:val="002C339B"/>
    <w:rsid w:val="002C5051"/>
    <w:rsid w:val="002D225C"/>
    <w:rsid w:val="002D43E2"/>
    <w:rsid w:val="002E64C7"/>
    <w:rsid w:val="002F118D"/>
    <w:rsid w:val="0031351D"/>
    <w:rsid w:val="003218C0"/>
    <w:rsid w:val="0035386E"/>
    <w:rsid w:val="00354D21"/>
    <w:rsid w:val="00364C36"/>
    <w:rsid w:val="003677BA"/>
    <w:rsid w:val="00375410"/>
    <w:rsid w:val="00381838"/>
    <w:rsid w:val="0038408B"/>
    <w:rsid w:val="003E4A8A"/>
    <w:rsid w:val="003F74BE"/>
    <w:rsid w:val="00411F30"/>
    <w:rsid w:val="00413305"/>
    <w:rsid w:val="00427C80"/>
    <w:rsid w:val="004377CD"/>
    <w:rsid w:val="004611CC"/>
    <w:rsid w:val="00495984"/>
    <w:rsid w:val="00495B79"/>
    <w:rsid w:val="004A2265"/>
    <w:rsid w:val="004A7BBF"/>
    <w:rsid w:val="004B0902"/>
    <w:rsid w:val="004B7D5F"/>
    <w:rsid w:val="004C1E71"/>
    <w:rsid w:val="004C34B7"/>
    <w:rsid w:val="004E1E37"/>
    <w:rsid w:val="00533085"/>
    <w:rsid w:val="00572E4D"/>
    <w:rsid w:val="005841FD"/>
    <w:rsid w:val="005A0228"/>
    <w:rsid w:val="005C25D9"/>
    <w:rsid w:val="005C3756"/>
    <w:rsid w:val="005C3E1B"/>
    <w:rsid w:val="005C74F1"/>
    <w:rsid w:val="005D6B27"/>
    <w:rsid w:val="005E4F40"/>
    <w:rsid w:val="005E752F"/>
    <w:rsid w:val="005F5508"/>
    <w:rsid w:val="00616CDB"/>
    <w:rsid w:val="00634D00"/>
    <w:rsid w:val="00643880"/>
    <w:rsid w:val="0065118A"/>
    <w:rsid w:val="00653A70"/>
    <w:rsid w:val="00662B4D"/>
    <w:rsid w:val="0067467B"/>
    <w:rsid w:val="00683627"/>
    <w:rsid w:val="006B279C"/>
    <w:rsid w:val="006E508B"/>
    <w:rsid w:val="007122C7"/>
    <w:rsid w:val="007359C0"/>
    <w:rsid w:val="00737567"/>
    <w:rsid w:val="007439A2"/>
    <w:rsid w:val="00782860"/>
    <w:rsid w:val="007850F9"/>
    <w:rsid w:val="00792DCC"/>
    <w:rsid w:val="007B69DD"/>
    <w:rsid w:val="007B794E"/>
    <w:rsid w:val="007C4621"/>
    <w:rsid w:val="007E7DE1"/>
    <w:rsid w:val="007F4085"/>
    <w:rsid w:val="007F6A41"/>
    <w:rsid w:val="008113D1"/>
    <w:rsid w:val="00833210"/>
    <w:rsid w:val="008350A6"/>
    <w:rsid w:val="0084452F"/>
    <w:rsid w:val="00866D7C"/>
    <w:rsid w:val="00867EEA"/>
    <w:rsid w:val="008879CA"/>
    <w:rsid w:val="008900E0"/>
    <w:rsid w:val="00890ADE"/>
    <w:rsid w:val="008968C3"/>
    <w:rsid w:val="008A3DE7"/>
    <w:rsid w:val="008A6E73"/>
    <w:rsid w:val="008B0BA9"/>
    <w:rsid w:val="008B6A97"/>
    <w:rsid w:val="008D41DA"/>
    <w:rsid w:val="008E406B"/>
    <w:rsid w:val="0091421E"/>
    <w:rsid w:val="00927355"/>
    <w:rsid w:val="0095250A"/>
    <w:rsid w:val="0095470C"/>
    <w:rsid w:val="00976B69"/>
    <w:rsid w:val="00982417"/>
    <w:rsid w:val="009B5D61"/>
    <w:rsid w:val="009B7057"/>
    <w:rsid w:val="00A56EED"/>
    <w:rsid w:val="00A75DC5"/>
    <w:rsid w:val="00A9756E"/>
    <w:rsid w:val="00AA22B0"/>
    <w:rsid w:val="00B00801"/>
    <w:rsid w:val="00B20134"/>
    <w:rsid w:val="00B312A6"/>
    <w:rsid w:val="00B35311"/>
    <w:rsid w:val="00B439B6"/>
    <w:rsid w:val="00B44894"/>
    <w:rsid w:val="00B462A7"/>
    <w:rsid w:val="00B620EA"/>
    <w:rsid w:val="00B72C4F"/>
    <w:rsid w:val="00BD0293"/>
    <w:rsid w:val="00BF4FCC"/>
    <w:rsid w:val="00C01CD4"/>
    <w:rsid w:val="00C0295F"/>
    <w:rsid w:val="00C11F5C"/>
    <w:rsid w:val="00C15841"/>
    <w:rsid w:val="00C623BB"/>
    <w:rsid w:val="00C70483"/>
    <w:rsid w:val="00C742A7"/>
    <w:rsid w:val="00C76133"/>
    <w:rsid w:val="00CC0A25"/>
    <w:rsid w:val="00CC593C"/>
    <w:rsid w:val="00CE0556"/>
    <w:rsid w:val="00D05A80"/>
    <w:rsid w:val="00D20EF9"/>
    <w:rsid w:val="00D4374D"/>
    <w:rsid w:val="00D46E08"/>
    <w:rsid w:val="00D56A5C"/>
    <w:rsid w:val="00D71C5B"/>
    <w:rsid w:val="00D75214"/>
    <w:rsid w:val="00D75747"/>
    <w:rsid w:val="00D7587C"/>
    <w:rsid w:val="00DF5A04"/>
    <w:rsid w:val="00E05375"/>
    <w:rsid w:val="00E05B0B"/>
    <w:rsid w:val="00E22D50"/>
    <w:rsid w:val="00E25A52"/>
    <w:rsid w:val="00E33F5C"/>
    <w:rsid w:val="00E6731D"/>
    <w:rsid w:val="00E8351E"/>
    <w:rsid w:val="00EA4C4A"/>
    <w:rsid w:val="00EB6BE4"/>
    <w:rsid w:val="00EE35EE"/>
    <w:rsid w:val="00EE62BA"/>
    <w:rsid w:val="00F0303A"/>
    <w:rsid w:val="00F05513"/>
    <w:rsid w:val="00F2085D"/>
    <w:rsid w:val="00F64D74"/>
    <w:rsid w:val="00F77924"/>
    <w:rsid w:val="00FA2ACE"/>
    <w:rsid w:val="00FB0A38"/>
    <w:rsid w:val="00FB40E2"/>
    <w:rsid w:val="00FB4A6E"/>
    <w:rsid w:val="00FB6AD8"/>
    <w:rsid w:val="00FC6C8B"/>
    <w:rsid w:val="00FD4DCB"/>
    <w:rsid w:val="00FD626D"/>
    <w:rsid w:val="00FE07E4"/>
    <w:rsid w:val="00FE2F2E"/>
    <w:rsid w:val="00FE3FC4"/>
    <w:rsid w:val="00FF4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90EA8E-0919-4DB1-9983-FBD6FA95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3E2"/>
    <w:pPr>
      <w:spacing w:before="240" w:after="120" w:line="300" w:lineRule="atLeast"/>
    </w:pPr>
    <w:rPr>
      <w:rFonts w:eastAsia="Times New Roman" w:cs="Times New Roman"/>
      <w:szCs w:val="24"/>
      <w:lang w:val="en-GB" w:eastAsia="de-DE"/>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hAnsi="Arial"/>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line="340" w:lineRule="exact"/>
    </w:pPr>
    <w:rPr>
      <w:color w:val="FF0000"/>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numbering" w:styleId="1ai">
    <w:name w:val="Outline List 1"/>
    <w:basedOn w:val="KeineListe"/>
    <w:semiHidden/>
    <w:rsid w:val="002D43E2"/>
    <w:pPr>
      <w:numPr>
        <w:numId w:val="10"/>
      </w:numPr>
    </w:pPr>
  </w:style>
  <w:style w:type="character" w:styleId="Hyperlink">
    <w:name w:val="Hyperlink"/>
    <w:basedOn w:val="Absatz-Standardschriftart"/>
    <w:uiPriority w:val="99"/>
    <w:rsid w:val="002D43E2"/>
    <w:rPr>
      <w:color w:val="0000FF"/>
      <w:u w:val="single"/>
    </w:rPr>
  </w:style>
  <w:style w:type="character" w:styleId="Seitenzahl">
    <w:name w:val="page number"/>
    <w:basedOn w:val="Absatz-Standardschriftart"/>
    <w:rsid w:val="002D43E2"/>
  </w:style>
  <w:style w:type="paragraph" w:styleId="Textkrper">
    <w:name w:val="Body Text"/>
    <w:basedOn w:val="Standard"/>
    <w:link w:val="TextkrperZchn"/>
    <w:semiHidden/>
    <w:rsid w:val="002D43E2"/>
    <w:pPr>
      <w:jc w:val="both"/>
    </w:pPr>
  </w:style>
  <w:style w:type="character" w:customStyle="1" w:styleId="TextkrperZchn">
    <w:name w:val="Textkörper Zchn"/>
    <w:basedOn w:val="Absatz-Standardschriftart"/>
    <w:link w:val="Textkrper"/>
    <w:semiHidden/>
    <w:rsid w:val="002D43E2"/>
    <w:rPr>
      <w:rFonts w:eastAsia="Times New Roman" w:cs="Times New Roman"/>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uides.cmslegal.com/selection.aspx" TargetMode="External"/><Relationship Id="rId13" Type="http://schemas.openxmlformats.org/officeDocument/2006/relationships/image" Target="cid:image004.png@01CE6911.79B21EC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msleg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ms-rrh.com/" TargetMode="External"/><Relationship Id="rId5" Type="http://schemas.openxmlformats.org/officeDocument/2006/relationships/webSettings" Target="webSettings.xml"/><Relationship Id="rId15" Type="http://schemas.openxmlformats.org/officeDocument/2006/relationships/hyperlink" Target="http://www.cms-rrh.com" TargetMode="External"/><Relationship Id="rId10" Type="http://schemas.openxmlformats.org/officeDocument/2006/relationships/hyperlink" Target="http://sites.cms-rrh.com/downloads/huber.zi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guides.cmslegal.com/selection.aspx" TargetMode="External"/><Relationship Id="rId14" Type="http://schemas.openxmlformats.org/officeDocument/2006/relationships/hyperlink" Target="http://blog.cms-rrh.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_%20Marketing%20NEU\Kommunikation\Externe%20PR\Press%20Release\VORLAGE\CMS_Press_Release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27AC-2C7D-439F-9DA8-08084B80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CMS_Press_Release_EN.dotx</Template>
  <TotalTime>0</TotalTime>
  <Pages>3</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 German</vt:lpstr>
    </vt:vector>
  </TitlesOfParts>
  <Manager>CMS Reich-Rohwig Hainz Rechtsanwälte GmbH</Manager>
  <Company>CMS Reich-Rohwig Hainz Rechtsanwälte GmbH</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German</dc:title>
  <dc:creator>Lastro Kristijana</dc:creator>
  <cp:lastModifiedBy>Breitenecker Christoph</cp:lastModifiedBy>
  <cp:revision>2</cp:revision>
  <cp:lastPrinted>2012-03-27T14:04:00Z</cp:lastPrinted>
  <dcterms:created xsi:type="dcterms:W3CDTF">2014-07-30T08:37:00Z</dcterms:created>
  <dcterms:modified xsi:type="dcterms:W3CDTF">2014-07-30T08:37:00Z</dcterms:modified>
</cp:coreProperties>
</file>