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6F" w:rsidRDefault="0081646F" w:rsidP="0081646F"/>
    <w:p w:rsidR="0081646F" w:rsidRDefault="0081646F" w:rsidP="0081646F">
      <w:pPr>
        <w:spacing w:line="15" w:lineRule="atLeast"/>
        <w:rPr>
          <w:sz w:val="2"/>
          <w:szCs w:val="2"/>
        </w:rPr>
      </w:pPr>
      <w:r>
        <w:rPr>
          <w:sz w:val="2"/>
          <w:szCs w:val="2"/>
        </w:rPr>
        <w:t>Decreto Presidencial nº 43/17 de 6 de Março</w:t>
      </w: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8804"/>
      </w:tblGrid>
      <w:tr w:rsidR="0081646F" w:rsidTr="0081646F">
        <w:trPr>
          <w:trHeight w:val="23"/>
          <w:tblCellSpacing w:w="0" w:type="dxa"/>
          <w:jc w:val="center"/>
        </w:trPr>
        <w:tc>
          <w:tcPr>
            <w:tcW w:w="0" w:type="auto"/>
            <w:shd w:val="clear" w:color="auto" w:fill="CCCCCC"/>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1646F">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1646F">
                    <w:trPr>
                      <w:tblCellSpacing w:w="0" w:type="dxa"/>
                    </w:trPr>
                    <w:tc>
                      <w:tcPr>
                        <w:tcW w:w="0" w:type="auto"/>
                        <w:vAlign w:val="center"/>
                        <w:hideMark/>
                      </w:tcPr>
                      <w:p w:rsidR="0081646F" w:rsidRDefault="0081646F">
                        <w:pPr>
                          <w:rPr>
                            <w:color w:val="000000"/>
                          </w:rPr>
                        </w:pPr>
                        <w:r>
                          <w:rPr>
                            <w:noProof/>
                          </w:rPr>
                          <w:drawing>
                            <wp:anchor distT="47625" distB="47625" distL="47625" distR="47625" simplePos="0" relativeHeight="251659264" behindDoc="0" locked="0" layoutInCell="1" allowOverlap="0" wp14:anchorId="39B22C4E" wp14:editId="035A7505">
                              <wp:simplePos x="0" y="0"/>
                              <wp:positionH relativeFrom="column">
                                <wp:align>left</wp:align>
                              </wp:positionH>
                              <wp:positionV relativeFrom="line">
                                <wp:posOffset>0</wp:posOffset>
                              </wp:positionV>
                              <wp:extent cx="5676900" cy="3895725"/>
                              <wp:effectExtent l="0" t="0" r="0" b="9525"/>
                              <wp:wrapSquare wrapText="bothSides"/>
                              <wp:docPr id="1" name="Imagem 4" descr="https://mlsvc01-prod.s3.amazonaws.com/ea7dda2f001/e91e8871-5b5d-4bfb-95d9-cd36f348bb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ea7dda2f001/e91e8871-5b5d-4bfb-95d9-cd36f348bb76.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76900" cy="3895725"/>
                                      </a:xfrm>
                                      <a:prstGeom prst="rect">
                                        <a:avLst/>
                                      </a:prstGeom>
                                      <a:noFill/>
                                    </pic:spPr>
                                  </pic:pic>
                                </a:graphicData>
                              </a:graphic>
                              <wp14:sizeRelH relativeFrom="page">
                                <wp14:pctWidth>0</wp14:pctWidth>
                              </wp14:sizeRelH>
                              <wp14:sizeRelV relativeFrom="page">
                                <wp14:pctHeight>0</wp14:pctHeight>
                              </wp14:sizeRelV>
                            </wp:anchor>
                          </w:drawing>
                        </w:r>
                      </w:p>
                    </w:tc>
                  </w:tr>
                </w:tbl>
                <w:p w:rsidR="0081646F" w:rsidRDefault="0081646F">
                  <w:pPr>
                    <w:rPr>
                      <w:rFonts w:eastAsia="Times New Roman"/>
                      <w:sz w:val="20"/>
                      <w:szCs w:val="20"/>
                    </w:rPr>
                  </w:pPr>
                </w:p>
              </w:tc>
            </w:tr>
            <w:tr w:rsidR="0081646F">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7950"/>
                    <w:gridCol w:w="525"/>
                  </w:tblGrid>
                  <w:tr w:rsidR="0081646F">
                    <w:trPr>
                      <w:trHeight w:val="300"/>
                      <w:tblCellSpacing w:w="0" w:type="dxa"/>
                    </w:trPr>
                    <w:tc>
                      <w:tcPr>
                        <w:tcW w:w="0" w:type="auto"/>
                        <w:gridSpan w:val="3"/>
                        <w:vAlign w:val="center"/>
                        <w:hideMark/>
                      </w:tcPr>
                      <w:p w:rsidR="0081646F" w:rsidRDefault="0081646F">
                        <w:pPr>
                          <w:rPr>
                            <w:rFonts w:eastAsia="Times New Roman"/>
                            <w:sz w:val="20"/>
                            <w:szCs w:val="20"/>
                          </w:rPr>
                        </w:pPr>
                      </w:p>
                    </w:tc>
                  </w:tr>
                  <w:tr w:rsidR="0081646F">
                    <w:trPr>
                      <w:tblCellSpacing w:w="0" w:type="dxa"/>
                    </w:trPr>
                    <w:tc>
                      <w:tcPr>
                        <w:tcW w:w="525" w:type="dxa"/>
                        <w:vMerge w:val="restart"/>
                        <w:shd w:val="clear" w:color="auto" w:fill="FFFFFF"/>
                        <w:vAlign w:val="center"/>
                        <w:hideMark/>
                      </w:tcPr>
                      <w:p w:rsidR="0081646F" w:rsidRDefault="0081646F">
                        <w:r>
                          <w:rPr>
                            <w:noProof/>
                          </w:rPr>
                          <w:drawing>
                            <wp:inline distT="0" distB="0" distL="0" distR="0" wp14:anchorId="4047FBA3" wp14:editId="248D663F">
                              <wp:extent cx="332740" cy="6985"/>
                              <wp:effectExtent l="0" t="0" r="0" b="0"/>
                              <wp:docPr id="2" name="Imagem 2"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 cy="6985"/>
                                      </a:xfrm>
                                      <a:prstGeom prst="rect">
                                        <a:avLst/>
                                      </a:prstGeom>
                                      <a:noFill/>
                                      <a:ln>
                                        <a:noFill/>
                                      </a:ln>
                                    </pic:spPr>
                                  </pic:pic>
                                </a:graphicData>
                              </a:graphic>
                            </wp:inline>
                          </w:drawing>
                        </w:r>
                      </w:p>
                    </w:tc>
                    <w:tc>
                      <w:tcPr>
                        <w:tcW w:w="79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81646F">
                          <w:trPr>
                            <w:tblCellSpacing w:w="0" w:type="dxa"/>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7950"/>
                              </w:tblGrid>
                              <w:tr w:rsidR="0081646F">
                                <w:trPr>
                                  <w:trHeight w:val="15"/>
                                  <w:tblCellSpacing w:w="0" w:type="dxa"/>
                                </w:trPr>
                                <w:tc>
                                  <w:tcPr>
                                    <w:tcW w:w="0" w:type="auto"/>
                                    <w:vAlign w:val="center"/>
                                    <w:hideMark/>
                                  </w:tcPr>
                                  <w:p w:rsidR="0081646F" w:rsidRDefault="0081646F">
                                    <w:pPr>
                                      <w:rPr>
                                        <w:rFonts w:eastAsia="Times New Roman"/>
                                        <w:sz w:val="20"/>
                                        <w:szCs w:val="20"/>
                                      </w:rPr>
                                    </w:pPr>
                                  </w:p>
                                </w:tc>
                              </w:tr>
                            </w:tbl>
                            <w:p w:rsidR="0081646F" w:rsidRDefault="0081646F">
                              <w:pPr>
                                <w:rPr>
                                  <w:vanish/>
                                </w:rPr>
                              </w:pPr>
                            </w:p>
                            <w:tbl>
                              <w:tblPr>
                                <w:tblW w:w="5000" w:type="pct"/>
                                <w:tblCellSpacing w:w="0" w:type="dxa"/>
                                <w:tblCellMar>
                                  <w:left w:w="0" w:type="dxa"/>
                                  <w:right w:w="0" w:type="dxa"/>
                                </w:tblCellMar>
                                <w:tblLook w:val="04A0" w:firstRow="1" w:lastRow="0" w:firstColumn="1" w:lastColumn="0" w:noHBand="0" w:noVBand="1"/>
                              </w:tblPr>
                              <w:tblGrid>
                                <w:gridCol w:w="7950"/>
                              </w:tblGrid>
                              <w:tr w:rsidR="0081646F">
                                <w:trPr>
                                  <w:tblCellSpacing w:w="0" w:type="dxa"/>
                                </w:trPr>
                                <w:tc>
                                  <w:tcPr>
                                    <w:tcW w:w="0" w:type="auto"/>
                                    <w:tcMar>
                                      <w:top w:w="150" w:type="dxa"/>
                                      <w:left w:w="150" w:type="dxa"/>
                                      <w:bottom w:w="150" w:type="dxa"/>
                                      <w:right w:w="150" w:type="dxa"/>
                                    </w:tcMar>
                                    <w:vAlign w:val="center"/>
                                  </w:tcPr>
                                  <w:p w:rsidR="0081646F" w:rsidRDefault="0081646F">
                                    <w:pPr>
                                      <w:jc w:val="both"/>
                                      <w:rPr>
                                        <w:rFonts w:ascii="Verdana" w:hAnsi="Verdana"/>
                                        <w:color w:val="000000"/>
                                        <w:sz w:val="18"/>
                                        <w:szCs w:val="18"/>
                                      </w:rPr>
                                    </w:pPr>
                                  </w:p>
                                  <w:p w:rsidR="0081646F" w:rsidRPr="0081646F" w:rsidRDefault="0081646F">
                                    <w:pPr>
                                      <w:jc w:val="center"/>
                                      <w:rPr>
                                        <w:rFonts w:ascii="Verdana" w:hAnsi="Verdana"/>
                                        <w:b/>
                                        <w:bCs/>
                                        <w:color w:val="000000"/>
                                        <w:sz w:val="18"/>
                                        <w:szCs w:val="18"/>
                                        <w:lang w:val="en-US"/>
                                      </w:rPr>
                                    </w:pPr>
                                    <w:r w:rsidRPr="0081646F">
                                      <w:rPr>
                                        <w:rFonts w:ascii="Verdana" w:hAnsi="Verdana"/>
                                        <w:b/>
                                        <w:bCs/>
                                        <w:color w:val="000000"/>
                                        <w:sz w:val="18"/>
                                        <w:szCs w:val="18"/>
                                        <w:lang w:val="en-US"/>
                                      </w:rPr>
                                      <w:t>PRESIDENTIAL DECREE N. 43/17 OF MARCH 6 - REGULATES THE HIRING AND PROFESSIONAL ACTIVITY OF THE NON RESIDENT FOREIGN</w:t>
                                    </w:r>
                                  </w:p>
                                  <w:p w:rsidR="0081646F" w:rsidRPr="0081646F" w:rsidRDefault="0081646F">
                                    <w:pPr>
                                      <w:jc w:val="center"/>
                                      <w:rPr>
                                        <w:rFonts w:ascii="Verdana" w:hAnsi="Verdana"/>
                                        <w:color w:val="000000"/>
                                        <w:sz w:val="18"/>
                                        <w:szCs w:val="18"/>
                                        <w:lang w:val="en-US"/>
                                      </w:rPr>
                                    </w:pPr>
                                    <w:r w:rsidRPr="0081646F">
                                      <w:rPr>
                                        <w:rStyle w:val="Forte"/>
                                        <w:rFonts w:ascii="Verdana" w:hAnsi="Verdana"/>
                                        <w:color w:val="000000"/>
                                        <w:sz w:val="18"/>
                                        <w:szCs w:val="18"/>
                                        <w:lang w:val="en-US"/>
                                      </w:rPr>
                                      <w:t>EMPLOYEES</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jc w:val="center"/>
                                      <w:rPr>
                                        <w:rFonts w:ascii="Verdana" w:hAnsi="Verdana"/>
                                        <w:color w:val="000000"/>
                                        <w:sz w:val="18"/>
                                        <w:szCs w:val="18"/>
                                        <w:lang w:val="en-US"/>
                                      </w:rPr>
                                    </w:pP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The Presidential Decree no. 43/17 entered into force on 6th March, establishing the new regime for the Hiring and Professional activity of the Non-resident Foreign Employees, with the following relevant changes: </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It is now expressly determined that the remuneration of non-resident foreign employees must be paid in Kwanzas, with the National Bank of Angola being responsible to establish the amounts that may be transferred abroad.</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It was also determined that fringe benefits cannot exceed 50% (fifty per cent) of the base salary.</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spacing w:after="240"/>
                                      <w:jc w:val="both"/>
                                      <w:rPr>
                                        <w:rFonts w:ascii="Verdana" w:hAnsi="Verdana"/>
                                        <w:color w:val="000000"/>
                                        <w:sz w:val="18"/>
                                        <w:szCs w:val="18"/>
                                        <w:lang w:val="en-US"/>
                                      </w:rPr>
                                    </w:pPr>
                                    <w:r w:rsidRPr="0081646F">
                                      <w:rPr>
                                        <w:rFonts w:ascii="Verdana" w:hAnsi="Verdana"/>
                                        <w:color w:val="000000"/>
                                        <w:sz w:val="18"/>
                                        <w:szCs w:val="18"/>
                                        <w:lang w:val="en-US"/>
                                      </w:rPr>
                                      <w:t>From now on, there are no exceptions to the ratio between 30% (thirty per cent) of non-resident foreign employees for 70% (seventy per cent) of resident employees. On the other hand, resident foreign employees become part of the definition of national workforce.</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The 5% (five per cent) fee payable when registering the employment contract before the Job Center levies over the total compensation expressed in the employment contract and not only over the base salary, as it was before.</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When registering the employment contract, the employer must attach a copy of the occupational qualifier including the non-resident foreign employees.</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xml:space="preserve">The employment contract with non-resident foreign employees is no longer subject </w:t>
                                    </w:r>
                                    <w:r w:rsidRPr="0081646F">
                                      <w:rPr>
                                        <w:rFonts w:ascii="Verdana" w:hAnsi="Verdana"/>
                                        <w:color w:val="000000"/>
                                        <w:sz w:val="18"/>
                                        <w:szCs w:val="18"/>
                                        <w:lang w:val="en-US"/>
                                      </w:rPr>
                                      <w:lastRenderedPageBreak/>
                                      <w:t>to a minimum duration of 3 (three) months being renewable up to 36 (thirty six) months - as it was before.</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 </w:t>
                                    </w:r>
                                  </w:p>
                                  <w:p w:rsidR="0081646F" w:rsidRPr="0081646F" w:rsidRDefault="0081646F">
                                    <w:pPr>
                                      <w:jc w:val="both"/>
                                      <w:rPr>
                                        <w:rFonts w:ascii="Verdana" w:hAnsi="Verdana"/>
                                        <w:color w:val="000000"/>
                                        <w:sz w:val="18"/>
                                        <w:szCs w:val="18"/>
                                        <w:lang w:val="en-US"/>
                                      </w:rPr>
                                    </w:pPr>
                                    <w:r w:rsidRPr="0081646F">
                                      <w:rPr>
                                        <w:rFonts w:ascii="Verdana" w:hAnsi="Verdana"/>
                                        <w:color w:val="000000"/>
                                        <w:sz w:val="18"/>
                                        <w:szCs w:val="18"/>
                                        <w:lang w:val="en-US"/>
                                      </w:rPr>
                                      <w:t>The penalties applied to employers for breach of the legal provisions set forth in the legal statute also suffered some changes.</w:t>
                                    </w:r>
                                  </w:p>
                                  <w:p w:rsidR="0081646F" w:rsidRPr="0081646F" w:rsidRDefault="0081646F">
                                    <w:pPr>
                                      <w:jc w:val="center"/>
                                      <w:rPr>
                                        <w:rFonts w:ascii="Verdana" w:hAnsi="Verdana"/>
                                        <w:b/>
                                        <w:bCs/>
                                        <w:color w:val="000000"/>
                                        <w:sz w:val="18"/>
                                        <w:szCs w:val="18"/>
                                        <w:lang w:val="en-US"/>
                                      </w:rPr>
                                    </w:pPr>
                                    <w:r w:rsidRPr="0081646F">
                                      <w:rPr>
                                        <w:rFonts w:ascii="Verdana" w:hAnsi="Verdana"/>
                                        <w:b/>
                                        <w:bCs/>
                                        <w:color w:val="000000"/>
                                        <w:sz w:val="18"/>
                                        <w:szCs w:val="18"/>
                                        <w:lang w:val="en-US"/>
                                      </w:rPr>
                                      <w:t> </w:t>
                                    </w:r>
                                  </w:p>
                                  <w:p w:rsidR="0081646F" w:rsidRDefault="0081646F">
                                    <w:pPr>
                                      <w:spacing w:after="240"/>
                                      <w:jc w:val="center"/>
                                      <w:rPr>
                                        <w:rFonts w:ascii="Verdana" w:hAnsi="Verdana"/>
                                        <w:color w:val="000000"/>
                                        <w:sz w:val="18"/>
                                        <w:szCs w:val="18"/>
                                      </w:rPr>
                                    </w:pPr>
                                    <w:r>
                                      <w:rPr>
                                        <w:rStyle w:val="Forte"/>
                                        <w:rFonts w:ascii="Verdana" w:hAnsi="Verdana"/>
                                        <w:color w:val="000000"/>
                                        <w:sz w:val="18"/>
                                        <w:szCs w:val="18"/>
                                      </w:rPr>
                                      <w:t>________________________________________________________</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rPr>
                                      <w:br/>
                                    </w:r>
                                    <w:r>
                                      <w:rPr>
                                        <w:rStyle w:val="Forte"/>
                                        <w:rFonts w:ascii="Verdana" w:hAnsi="Verdana"/>
                                        <w:color w:val="000000"/>
                                        <w:sz w:val="18"/>
                                        <w:szCs w:val="18"/>
                                      </w:rPr>
                                      <w:t>DECRETO PRESIDENCIAL N.º 43/17 DE 6 DE MARÇO - REGULA O EXERCÍCIO DA ACTIVIDADE PROFISSIONAL DO TRABALHADOR ESTRANGEIRO NÃO RESIDENTE</w:t>
                                    </w:r>
                                  </w:p>
                                  <w:p w:rsidR="0081646F" w:rsidRDefault="0081646F">
                                    <w:pPr>
                                      <w:jc w:val="both"/>
                                      <w:rPr>
                                        <w:rFonts w:ascii="Verdana" w:hAnsi="Verdana"/>
                                        <w:color w:val="000000"/>
                                        <w:sz w:val="18"/>
                                        <w:szCs w:val="18"/>
                                      </w:rPr>
                                    </w:pPr>
                                    <w:r>
                                      <w:rPr>
                                        <w:rFonts w:ascii="Verdana" w:hAnsi="Verdana"/>
                                        <w:color w:val="000000"/>
                                        <w:sz w:val="18"/>
                                        <w:szCs w:val="18"/>
                                      </w:rPr>
                                      <w:t xml:space="preserve">No dia 6 de Março entrou em vigor o Decreto Presidencial n.º 43/17, que estabelece o novo regime do Exercício da </w:t>
                                    </w:r>
                                    <w:proofErr w:type="spellStart"/>
                                    <w:r>
                                      <w:rPr>
                                        <w:rFonts w:ascii="Verdana" w:hAnsi="Verdana"/>
                                        <w:color w:val="000000"/>
                                        <w:sz w:val="18"/>
                                        <w:szCs w:val="18"/>
                                      </w:rPr>
                                      <w:t>actividade</w:t>
                                    </w:r>
                                    <w:proofErr w:type="spellEnd"/>
                                    <w:r>
                                      <w:rPr>
                                        <w:rFonts w:ascii="Verdana" w:hAnsi="Verdana"/>
                                        <w:color w:val="000000"/>
                                        <w:sz w:val="18"/>
                                        <w:szCs w:val="18"/>
                                      </w:rPr>
                                      <w:t xml:space="preserve"> Profissional do Trabalhador Estrangeiro Não Residente nos termos do qual entendemos realçar as seguintes alterações:</w:t>
                                    </w:r>
                                  </w:p>
                                  <w:p w:rsidR="0081646F" w:rsidRDefault="0081646F">
                                    <w:pPr>
                                      <w:jc w:val="both"/>
                                      <w:rPr>
                                        <w:rFonts w:ascii="Verdana" w:hAnsi="Verdana"/>
                                        <w:color w:val="000000"/>
                                        <w:sz w:val="18"/>
                                        <w:szCs w:val="18"/>
                                      </w:rPr>
                                    </w:pPr>
                                    <w:r>
                                      <w:rPr>
                                        <w:rFonts w:ascii="Verdana" w:hAnsi="Verdana"/>
                                        <w:color w:val="000000"/>
                                        <w:sz w:val="18"/>
                                        <w:szCs w:val="18"/>
                                      </w:rPr>
                                      <w:t> </w:t>
                                    </w:r>
                                  </w:p>
                                  <w:p w:rsidR="0081646F" w:rsidRDefault="0081646F">
                                    <w:pPr>
                                      <w:jc w:val="both"/>
                                      <w:rPr>
                                        <w:rFonts w:ascii="Verdana" w:hAnsi="Verdana"/>
                                        <w:color w:val="000000"/>
                                        <w:sz w:val="18"/>
                                        <w:szCs w:val="18"/>
                                      </w:rPr>
                                    </w:pPr>
                                    <w:r>
                                      <w:rPr>
                                        <w:rFonts w:ascii="Verdana" w:hAnsi="Verdana"/>
                                        <w:color w:val="000000"/>
                                        <w:sz w:val="18"/>
                                        <w:szCs w:val="18"/>
                                      </w:rPr>
                                      <w:t>Fica expresso que a remuneração dos trabalhadores estrangeiros não residentes deve ser paga em Kwanzas, ficando na dependência do Banco Nacional de Angola a definição dos montantes que poderão ser transferidos para o exterior.</w:t>
                                    </w:r>
                                  </w:p>
                                  <w:p w:rsidR="0081646F" w:rsidRDefault="0081646F">
                                    <w:pPr>
                                      <w:jc w:val="both"/>
                                      <w:rPr>
                                        <w:rFonts w:ascii="Verdana" w:hAnsi="Verdana"/>
                                        <w:color w:val="000000"/>
                                        <w:sz w:val="18"/>
                                        <w:szCs w:val="18"/>
                                      </w:rPr>
                                    </w:pPr>
                                    <w:r>
                                      <w:rPr>
                                        <w:rFonts w:ascii="Verdana" w:hAnsi="Verdana"/>
                                        <w:color w:val="000000"/>
                                        <w:sz w:val="18"/>
                                        <w:szCs w:val="18"/>
                                      </w:rPr>
                                      <w:t> </w:t>
                                    </w:r>
                                  </w:p>
                                  <w:p w:rsidR="0081646F" w:rsidRDefault="0081646F">
                                    <w:pPr>
                                      <w:spacing w:after="240"/>
                                      <w:jc w:val="both"/>
                                      <w:rPr>
                                        <w:rFonts w:ascii="Verdana" w:hAnsi="Verdana"/>
                                        <w:color w:val="000000"/>
                                        <w:sz w:val="18"/>
                                        <w:szCs w:val="18"/>
                                      </w:rPr>
                                    </w:pPr>
                                    <w:r>
                                      <w:rPr>
                                        <w:rFonts w:ascii="Verdana" w:hAnsi="Verdana"/>
                                        <w:color w:val="000000"/>
                                        <w:sz w:val="18"/>
                                        <w:szCs w:val="18"/>
                                      </w:rPr>
                                      <w:t>Foi ainda definido que os demais complementos salariais não deverão exceder 50% (cinquenta por cento) do salário base.</w:t>
                                    </w:r>
                                  </w:p>
                                  <w:p w:rsidR="0081646F" w:rsidRDefault="0081646F">
                                    <w:pPr>
                                      <w:spacing w:after="240"/>
                                      <w:jc w:val="both"/>
                                      <w:rPr>
                                        <w:rFonts w:ascii="Verdana" w:hAnsi="Verdana"/>
                                        <w:color w:val="000000"/>
                                        <w:sz w:val="18"/>
                                        <w:szCs w:val="18"/>
                                      </w:rPr>
                                    </w:pPr>
                                    <w:r>
                                      <w:rPr>
                                        <w:rFonts w:ascii="Verdana" w:hAnsi="Verdana"/>
                                        <w:color w:val="000000"/>
                                        <w:sz w:val="18"/>
                                        <w:szCs w:val="18"/>
                                      </w:rPr>
                                      <w:t xml:space="preserve">Deixam de existir quaisquer </w:t>
                                    </w:r>
                                    <w:proofErr w:type="spellStart"/>
                                    <w:r>
                                      <w:rPr>
                                        <w:rFonts w:ascii="Verdana" w:hAnsi="Verdana"/>
                                        <w:color w:val="000000"/>
                                        <w:sz w:val="18"/>
                                        <w:szCs w:val="18"/>
                                      </w:rPr>
                                      <w:t>excepções</w:t>
                                    </w:r>
                                    <w:proofErr w:type="spellEnd"/>
                                    <w:r>
                                      <w:rPr>
                                        <w:rFonts w:ascii="Verdana" w:hAnsi="Verdana"/>
                                        <w:color w:val="000000"/>
                                        <w:sz w:val="18"/>
                                        <w:szCs w:val="18"/>
                                      </w:rPr>
                                      <w:t xml:space="preserve"> à ratio de 30% (trinta por cento) </w:t>
                                    </w:r>
                                    <w:proofErr w:type="gramStart"/>
                                    <w:r>
                                      <w:rPr>
                                        <w:rFonts w:ascii="Verdana" w:hAnsi="Verdana"/>
                                        <w:color w:val="000000"/>
                                        <w:sz w:val="18"/>
                                        <w:szCs w:val="18"/>
                                      </w:rPr>
                                      <w:t>mão de obra</w:t>
                                    </w:r>
                                    <w:proofErr w:type="gramEnd"/>
                                    <w:r>
                                      <w:rPr>
                                        <w:rFonts w:ascii="Verdana" w:hAnsi="Verdana"/>
                                        <w:color w:val="000000"/>
                                        <w:sz w:val="18"/>
                                        <w:szCs w:val="18"/>
                                      </w:rPr>
                                      <w:t xml:space="preserve"> estrangeira </w:t>
                                    </w:r>
                                    <w:proofErr w:type="spellStart"/>
                                    <w:r>
                                      <w:rPr>
                                        <w:rFonts w:ascii="Verdana" w:hAnsi="Verdana"/>
                                        <w:color w:val="000000"/>
                                        <w:sz w:val="18"/>
                                        <w:szCs w:val="18"/>
                                      </w:rPr>
                                      <w:t>vs</w:t>
                                    </w:r>
                                    <w:proofErr w:type="spellEnd"/>
                                    <w:r>
                                      <w:rPr>
                                        <w:rFonts w:ascii="Verdana" w:hAnsi="Verdana"/>
                                        <w:color w:val="000000"/>
                                        <w:sz w:val="18"/>
                                        <w:szCs w:val="18"/>
                                      </w:rPr>
                                      <w:t xml:space="preserve"> 70% (setenta por cento) de mão de obra nacional, por outro lado, os trabalhadores estrangeiros residentes passam a integrar o conceito de mão-de-obra nacional.</w:t>
                                    </w:r>
                                  </w:p>
                                  <w:p w:rsidR="0081646F" w:rsidRDefault="0081646F">
                                    <w:pPr>
                                      <w:spacing w:after="240"/>
                                      <w:jc w:val="both"/>
                                      <w:rPr>
                                        <w:rFonts w:ascii="Verdana" w:hAnsi="Verdana"/>
                                        <w:color w:val="000000"/>
                                        <w:sz w:val="18"/>
                                        <w:szCs w:val="18"/>
                                      </w:rPr>
                                    </w:pPr>
                                    <w:r>
                                      <w:rPr>
                                        <w:rFonts w:ascii="Verdana" w:hAnsi="Verdana"/>
                                        <w:color w:val="000000"/>
                                        <w:sz w:val="18"/>
                                        <w:szCs w:val="18"/>
                                      </w:rPr>
                                      <w:t>A taxa de 5% (cinco por cento) paga aquando do registo do contrato de trabalho no centro de emprego passa a incidir sobre o valor da remuneração expressa no contrato e não sobre a remuneração base, como anteriormente acontecia.</w:t>
                                    </w:r>
                                  </w:p>
                                  <w:p w:rsidR="0081646F" w:rsidRDefault="0081646F">
                                    <w:pPr>
                                      <w:spacing w:after="240"/>
                                      <w:jc w:val="both"/>
                                      <w:rPr>
                                        <w:rFonts w:ascii="Verdana" w:hAnsi="Verdana"/>
                                        <w:color w:val="000000"/>
                                        <w:sz w:val="18"/>
                                        <w:szCs w:val="18"/>
                                      </w:rPr>
                                    </w:pPr>
                                    <w:r>
                                      <w:rPr>
                                        <w:rFonts w:ascii="Verdana" w:hAnsi="Verdana"/>
                                        <w:color w:val="000000"/>
                                        <w:sz w:val="18"/>
                                        <w:szCs w:val="18"/>
                                      </w:rPr>
                                      <w:t>No momento do registo do contrato de trabalho, a entidade empregadora deve juntar uma cópia do qualificador ocupacional onde conste a referência ao trabalhador estrangeiro não residente.</w:t>
                                    </w:r>
                                  </w:p>
                                  <w:p w:rsidR="0081646F" w:rsidRDefault="0081646F">
                                    <w:pPr>
                                      <w:spacing w:after="240"/>
                                      <w:jc w:val="both"/>
                                      <w:rPr>
                                        <w:rFonts w:ascii="Verdana" w:hAnsi="Verdana"/>
                                        <w:color w:val="000000"/>
                                        <w:sz w:val="18"/>
                                        <w:szCs w:val="18"/>
                                      </w:rPr>
                                    </w:pPr>
                                    <w:r>
                                      <w:rPr>
                                        <w:rFonts w:ascii="Verdana" w:hAnsi="Verdana"/>
                                        <w:color w:val="000000"/>
                                        <w:sz w:val="18"/>
                                        <w:szCs w:val="18"/>
                                      </w:rPr>
                                      <w:t>O contrato de trabalho com trabalhadores estrangeiros não residentes deixa de ter a duração mínima de 3 (três) meses podendo ser renovável até 36 (trinta e seis) meses - como aliás, já acontecia.</w:t>
                                    </w:r>
                                  </w:p>
                                  <w:p w:rsidR="0081646F" w:rsidRDefault="0081646F">
                                    <w:pPr>
                                      <w:jc w:val="both"/>
                                      <w:rPr>
                                        <w:rFonts w:ascii="Verdana" w:hAnsi="Verdana"/>
                                        <w:color w:val="000000"/>
                                        <w:sz w:val="18"/>
                                        <w:szCs w:val="18"/>
                                      </w:rPr>
                                    </w:pPr>
                                    <w:r>
                                      <w:rPr>
                                        <w:rFonts w:ascii="Verdana" w:hAnsi="Verdana"/>
                                        <w:color w:val="000000"/>
                                        <w:sz w:val="18"/>
                                        <w:szCs w:val="18"/>
                                      </w:rPr>
                                      <w:t>A forma da fixação das multas por incumprimento das disposições legais previstas no diploma foi igualmente alterada</w:t>
                                    </w:r>
                                    <w:r>
                                      <w:rPr>
                                        <w:rStyle w:val="Forte"/>
                                        <w:rFonts w:ascii="Verdana" w:hAnsi="Verdana"/>
                                        <w:color w:val="000000"/>
                                        <w:sz w:val="18"/>
                                        <w:szCs w:val="18"/>
                                      </w:rPr>
                                      <w:t>.</w:t>
                                    </w:r>
                                    <w:r>
                                      <w:rPr>
                                        <w:rFonts w:ascii="Verdana" w:hAnsi="Verdana"/>
                                        <w:color w:val="000000"/>
                                        <w:sz w:val="18"/>
                                        <w:szCs w:val="18"/>
                                      </w:rPr>
                                      <w:t> </w:t>
                                    </w:r>
                                  </w:p>
                                </w:tc>
                              </w:tr>
                            </w:tbl>
                            <w:p w:rsidR="0081646F" w:rsidRDefault="0081646F">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50"/>
                              </w:tblGrid>
                              <w:tr w:rsidR="0081646F">
                                <w:trPr>
                                  <w:trHeight w:val="15"/>
                                  <w:tblCellSpacing w:w="0" w:type="dxa"/>
                                </w:trPr>
                                <w:tc>
                                  <w:tcPr>
                                    <w:tcW w:w="0" w:type="auto"/>
                                    <w:shd w:val="clear" w:color="auto" w:fill="FFFFFF"/>
                                    <w:vAlign w:val="center"/>
                                    <w:hideMark/>
                                  </w:tcPr>
                                  <w:p w:rsidR="0081646F" w:rsidRDefault="0081646F">
                                    <w:pPr>
                                      <w:rPr>
                                        <w:rFonts w:eastAsia="Times New Roman"/>
                                        <w:sz w:val="20"/>
                                        <w:szCs w:val="20"/>
                                      </w:rPr>
                                    </w:pPr>
                                  </w:p>
                                </w:tc>
                              </w:tr>
                            </w:tbl>
                            <w:p w:rsidR="0081646F" w:rsidRDefault="0081646F">
                              <w:pPr>
                                <w:rPr>
                                  <w:vanish/>
                                </w:rPr>
                              </w:pPr>
                            </w:p>
                            <w:tbl>
                              <w:tblPr>
                                <w:tblW w:w="5000" w:type="pct"/>
                                <w:tblCellSpacing w:w="0" w:type="dxa"/>
                                <w:tblCellMar>
                                  <w:left w:w="0" w:type="dxa"/>
                                  <w:right w:w="0" w:type="dxa"/>
                                </w:tblCellMar>
                                <w:tblLook w:val="04A0" w:firstRow="1" w:lastRow="0" w:firstColumn="1" w:lastColumn="0" w:noHBand="0" w:noVBand="1"/>
                              </w:tblPr>
                              <w:tblGrid>
                                <w:gridCol w:w="7950"/>
                              </w:tblGrid>
                              <w:tr w:rsidR="0081646F">
                                <w:trPr>
                                  <w:tblCellSpacing w:w="0" w:type="dxa"/>
                                </w:trPr>
                                <w:tc>
                                  <w:tcPr>
                                    <w:tcW w:w="0" w:type="auto"/>
                                    <w:tcMar>
                                      <w:top w:w="150" w:type="dxa"/>
                                      <w:left w:w="150" w:type="dxa"/>
                                      <w:bottom w:w="150" w:type="dxa"/>
                                      <w:right w:w="150" w:type="dxa"/>
                                    </w:tcMar>
                                  </w:tcPr>
                                  <w:p w:rsidR="0081646F" w:rsidRPr="0081646F" w:rsidRDefault="0081646F">
                                    <w:pPr>
                                      <w:rPr>
                                        <w:rFonts w:ascii="Verdana" w:hAnsi="Verdana"/>
                                        <w:color w:val="000000"/>
                                        <w:sz w:val="18"/>
                                        <w:szCs w:val="18"/>
                                        <w:lang w:val="en-US"/>
                                      </w:rPr>
                                    </w:pPr>
                                    <w:r w:rsidRPr="0081646F">
                                      <w:rPr>
                                        <w:rStyle w:val="Forte"/>
                                        <w:rFonts w:ascii="Verdana" w:hAnsi="Verdana"/>
                                        <w:color w:val="000000"/>
                                        <w:sz w:val="18"/>
                                        <w:szCs w:val="18"/>
                                        <w:lang w:val="en-US"/>
                                      </w:rPr>
                                      <w:t xml:space="preserve">For further information, please contact: </w:t>
                                    </w:r>
                                  </w:p>
                                  <w:p w:rsidR="0081646F" w:rsidRDefault="0081646F">
                                    <w:pPr>
                                      <w:rPr>
                                        <w:rFonts w:ascii="Verdana" w:hAnsi="Verdana"/>
                                        <w:color w:val="000000"/>
                                        <w:sz w:val="18"/>
                                        <w:szCs w:val="18"/>
                                      </w:rPr>
                                    </w:pPr>
                                    <w:r>
                                      <w:rPr>
                                        <w:rStyle w:val="Forte"/>
                                        <w:rFonts w:ascii="Verdana" w:hAnsi="Verdana"/>
                                        <w:color w:val="000000"/>
                                        <w:sz w:val="18"/>
                                        <w:szCs w:val="18"/>
                                      </w:rPr>
                                      <w:t>/Para informação adicional, por favor contacte: </w:t>
                                    </w:r>
                                  </w:p>
                                  <w:p w:rsidR="0081646F" w:rsidRDefault="0081646F">
                                    <w:pPr>
                                      <w:rPr>
                                        <w:rFonts w:ascii="Verdana" w:hAnsi="Verdana"/>
                                        <w:color w:val="000000"/>
                                        <w:sz w:val="18"/>
                                        <w:szCs w:val="18"/>
                                      </w:rPr>
                                    </w:pPr>
                                    <w:r>
                                      <w:rPr>
                                        <w:rFonts w:ascii="Verdana" w:hAnsi="Verdana"/>
                                        <w:color w:val="000000"/>
                                        <w:sz w:val="18"/>
                                        <w:szCs w:val="18"/>
                                      </w:rPr>
                                      <w:t>  </w:t>
                                    </w:r>
                                  </w:p>
                                  <w:p w:rsidR="0081646F" w:rsidRDefault="0081646F">
                                    <w:pPr>
                                      <w:rPr>
                                        <w:rFonts w:ascii="Verdana" w:hAnsi="Verdana"/>
                                        <w:color w:val="000000"/>
                                        <w:sz w:val="18"/>
                                        <w:szCs w:val="18"/>
                                      </w:rPr>
                                    </w:pPr>
                                    <w:r>
                                      <w:rPr>
                                        <w:rFonts w:ascii="Verdana" w:hAnsi="Verdana"/>
                                        <w:color w:val="000000"/>
                                        <w:sz w:val="18"/>
                                        <w:szCs w:val="18"/>
                                      </w:rPr>
                                      <w:t>Tiago Machado Graça | Advogado | CMS Rui Pena &amp; Arnaut - Portugal </w:t>
                                    </w:r>
                                  </w:p>
                                  <w:p w:rsidR="0081646F" w:rsidRDefault="0081646F">
                                    <w:pPr>
                                      <w:rPr>
                                        <w:rFonts w:ascii="Verdana" w:hAnsi="Verdana"/>
                                        <w:color w:val="0000FF"/>
                                        <w:sz w:val="18"/>
                                        <w:szCs w:val="18"/>
                                      </w:rPr>
                                    </w:pPr>
                                    <w:hyperlink r:id="rId7" w:history="1">
                                      <w:proofErr w:type="gramStart"/>
                                      <w:r>
                                        <w:rPr>
                                          <w:rStyle w:val="Hiperligao"/>
                                          <w:rFonts w:ascii="Verdana" w:hAnsi="Verdana"/>
                                          <w:sz w:val="18"/>
                                          <w:szCs w:val="18"/>
                                        </w:rPr>
                                        <w:t>tiago.graca@cms-rpa.com</w:t>
                                      </w:r>
                                    </w:hyperlink>
                                    <w:r>
                                      <w:rPr>
                                        <w:rFonts w:ascii="Verdana" w:hAnsi="Verdana"/>
                                        <w:color w:val="0000FF"/>
                                        <w:sz w:val="18"/>
                                        <w:szCs w:val="18"/>
                                      </w:rPr>
                                      <w:t> </w:t>
                                    </w:r>
                                    <w:proofErr w:type="gramEnd"/>
                                  </w:p>
                                  <w:p w:rsidR="0081646F" w:rsidRDefault="0081646F">
                                    <w:pPr>
                                      <w:rPr>
                                        <w:rFonts w:ascii="Verdana" w:hAnsi="Verdana"/>
                                        <w:color w:val="0000FF"/>
                                        <w:sz w:val="18"/>
                                        <w:szCs w:val="18"/>
                                      </w:rPr>
                                    </w:pPr>
                                  </w:p>
                                  <w:p w:rsidR="0081646F" w:rsidRDefault="0081646F">
                                    <w:pPr>
                                      <w:rPr>
                                        <w:rFonts w:ascii="Verdana" w:hAnsi="Verdana"/>
                                        <w:color w:val="000000"/>
                                        <w:sz w:val="18"/>
                                        <w:szCs w:val="18"/>
                                      </w:rPr>
                                    </w:pPr>
                                    <w:r>
                                      <w:rPr>
                                        <w:rStyle w:val="Forte"/>
                                        <w:rFonts w:ascii="Verdana" w:hAnsi="Verdana"/>
                                        <w:color w:val="000000"/>
                                        <w:sz w:val="18"/>
                                        <w:szCs w:val="18"/>
                                      </w:rPr>
                                      <w:t xml:space="preserve">In </w:t>
                                    </w:r>
                                    <w:proofErr w:type="spellStart"/>
                                    <w:r>
                                      <w:rPr>
                                        <w:rStyle w:val="Forte"/>
                                        <w:rFonts w:ascii="Verdana" w:hAnsi="Verdana"/>
                                        <w:color w:val="000000"/>
                                        <w:sz w:val="18"/>
                                        <w:szCs w:val="18"/>
                                      </w:rPr>
                                      <w:t>collaboration</w:t>
                                    </w:r>
                                    <w:proofErr w:type="spellEnd"/>
                                    <w:r>
                                      <w:rPr>
                                        <w:rStyle w:val="Forte"/>
                                        <w:rFonts w:ascii="Verdana" w:hAnsi="Verdana"/>
                                        <w:color w:val="000000"/>
                                        <w:sz w:val="18"/>
                                        <w:szCs w:val="18"/>
                                      </w:rPr>
                                      <w:t xml:space="preserve"> </w:t>
                                    </w:r>
                                    <w:proofErr w:type="spellStart"/>
                                    <w:r>
                                      <w:rPr>
                                        <w:rStyle w:val="Forte"/>
                                        <w:rFonts w:ascii="Verdana" w:hAnsi="Verdana"/>
                                        <w:color w:val="000000"/>
                                        <w:sz w:val="18"/>
                                        <w:szCs w:val="18"/>
                                      </w:rPr>
                                      <w:t>with</w:t>
                                    </w:r>
                                    <w:proofErr w:type="spellEnd"/>
                                    <w:r>
                                      <w:rPr>
                                        <w:rStyle w:val="Forte"/>
                                        <w:rFonts w:ascii="Verdana" w:hAnsi="Verdana"/>
                                        <w:color w:val="000000"/>
                                        <w:sz w:val="18"/>
                                        <w:szCs w:val="18"/>
                                      </w:rPr>
                                      <w:t>:</w:t>
                                    </w:r>
                                    <w:r>
                                      <w:rPr>
                                        <w:rFonts w:ascii="Verdana" w:hAnsi="Verdana"/>
                                        <w:b/>
                                        <w:bCs/>
                                        <w:color w:val="000000"/>
                                        <w:sz w:val="18"/>
                                        <w:szCs w:val="18"/>
                                      </w:rPr>
                                      <w:br/>
                                    </w:r>
                                    <w:r>
                                      <w:rPr>
                                        <w:rStyle w:val="Forte"/>
                                        <w:rFonts w:ascii="Verdana" w:hAnsi="Verdana"/>
                                        <w:color w:val="000000"/>
                                        <w:sz w:val="18"/>
                                        <w:szCs w:val="18"/>
                                      </w:rPr>
                                      <w:t xml:space="preserve">/ Em colaboração </w:t>
                                    </w:r>
                                    <w:proofErr w:type="gramStart"/>
                                    <w:r>
                                      <w:rPr>
                                        <w:rStyle w:val="Forte"/>
                                        <w:rFonts w:ascii="Verdana" w:hAnsi="Verdana"/>
                                        <w:color w:val="000000"/>
                                        <w:sz w:val="18"/>
                                        <w:szCs w:val="18"/>
                                      </w:rPr>
                                      <w:t>com</w:t>
                                    </w:r>
                                    <w:proofErr w:type="gramEnd"/>
                                    <w:r>
                                      <w:rPr>
                                        <w:rStyle w:val="Forte"/>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t>Filipa Tavares de Lima | Partner | FTL Advogados - Angola </w:t>
                                    </w:r>
                                  </w:p>
                                  <w:p w:rsidR="0081646F" w:rsidRPr="0081646F" w:rsidRDefault="0081646F">
                                    <w:pPr>
                                      <w:rPr>
                                        <w:rFonts w:ascii="Verdana" w:hAnsi="Verdana"/>
                                        <w:color w:val="0000FF"/>
                                        <w:sz w:val="18"/>
                                        <w:szCs w:val="18"/>
                                        <w:lang w:val="en-US"/>
                                      </w:rPr>
                                    </w:pPr>
                                    <w:hyperlink r:id="rId8" w:history="1">
                                      <w:r w:rsidRPr="0081646F">
                                        <w:rPr>
                                          <w:rStyle w:val="Hiperligao"/>
                                          <w:rFonts w:ascii="Verdana" w:hAnsi="Verdana"/>
                                          <w:sz w:val="18"/>
                                          <w:szCs w:val="18"/>
                                          <w:lang w:val="en-US"/>
                                        </w:rPr>
                                        <w:t>filipa.lima@ftl-advogados.com</w:t>
                                      </w:r>
                                    </w:hyperlink>
                                    <w:r w:rsidRPr="0081646F">
                                      <w:rPr>
                                        <w:rFonts w:ascii="Verdana" w:hAnsi="Verdana"/>
                                        <w:color w:val="0000FF"/>
                                        <w:sz w:val="18"/>
                                        <w:szCs w:val="18"/>
                                        <w:u w:val="single"/>
                                        <w:lang w:val="en-US"/>
                                      </w:rPr>
                                      <w:t> </w:t>
                                    </w:r>
                                  </w:p>
                                  <w:p w:rsidR="0081646F" w:rsidRPr="0081646F" w:rsidRDefault="0081646F">
                                    <w:pPr>
                                      <w:rPr>
                                        <w:rFonts w:ascii="Verdana" w:hAnsi="Verdana"/>
                                        <w:color w:val="0000FF"/>
                                        <w:sz w:val="18"/>
                                        <w:szCs w:val="18"/>
                                        <w:lang w:val="en-US"/>
                                      </w:rPr>
                                    </w:pPr>
                                  </w:p>
                                  <w:p w:rsidR="0081646F" w:rsidRPr="0081646F" w:rsidRDefault="0081646F">
                                    <w:pPr>
                                      <w:rPr>
                                        <w:rFonts w:ascii="Verdana" w:hAnsi="Verdana"/>
                                        <w:color w:val="000000"/>
                                        <w:sz w:val="18"/>
                                        <w:szCs w:val="18"/>
                                        <w:lang w:val="en-US"/>
                                      </w:rPr>
                                    </w:pPr>
                                    <w:r w:rsidRPr="0081646F">
                                      <w:rPr>
                                        <w:rFonts w:ascii="Verdana" w:hAnsi="Verdana"/>
                                        <w:color w:val="000000"/>
                                        <w:sz w:val="18"/>
                                        <w:szCs w:val="18"/>
                                        <w:lang w:val="en-US"/>
                                      </w:rPr>
                                      <w:br/>
                                    </w:r>
                                    <w:r w:rsidRPr="0081646F">
                                      <w:rPr>
                                        <w:rFonts w:ascii="Verdana" w:hAnsi="Verdana"/>
                                        <w:color w:val="000000"/>
                                        <w:sz w:val="16"/>
                                        <w:szCs w:val="16"/>
                                        <w:lang w:val="en-US"/>
                                      </w:rPr>
                                      <w:t xml:space="preserve">FTL </w:t>
                                    </w:r>
                                    <w:proofErr w:type="spellStart"/>
                                    <w:r w:rsidRPr="0081646F">
                                      <w:rPr>
                                        <w:rFonts w:ascii="Verdana" w:hAnsi="Verdana"/>
                                        <w:color w:val="000000"/>
                                        <w:sz w:val="16"/>
                                        <w:szCs w:val="16"/>
                                        <w:lang w:val="en-US"/>
                                      </w:rPr>
                                      <w:t>Advogados</w:t>
                                    </w:r>
                                    <w:proofErr w:type="spellEnd"/>
                                    <w:r w:rsidRPr="0081646F">
                                      <w:rPr>
                                        <w:rFonts w:ascii="Verdana" w:hAnsi="Verdana"/>
                                        <w:color w:val="000000"/>
                                        <w:sz w:val="16"/>
                                        <w:szCs w:val="16"/>
                                        <w:lang w:val="en-US"/>
                                      </w:rPr>
                                      <w:t xml:space="preserve"> is the local correspondent of CMS in Angola </w:t>
                                    </w:r>
                                  </w:p>
                                  <w:p w:rsidR="0081646F" w:rsidRDefault="0081646F">
                                    <w:pPr>
                                      <w:rPr>
                                        <w:rFonts w:ascii="Verdana" w:hAnsi="Verdana"/>
                                        <w:color w:val="0000FF"/>
                                        <w:sz w:val="16"/>
                                        <w:szCs w:val="16"/>
                                      </w:rPr>
                                    </w:pPr>
                                    <w:r>
                                      <w:rPr>
                                        <w:rFonts w:ascii="Verdana" w:hAnsi="Verdana"/>
                                        <w:color w:val="000000"/>
                                        <w:sz w:val="16"/>
                                        <w:szCs w:val="16"/>
                                      </w:rPr>
                                      <w:t>/ FTL Advogados é o correspondente local da CMS em Angola</w:t>
                                    </w:r>
                                    <w:r>
                                      <w:rPr>
                                        <w:rFonts w:ascii="Verdana" w:hAnsi="Verdana"/>
                                        <w:color w:val="0000FF"/>
                                        <w:sz w:val="16"/>
                                        <w:szCs w:val="16"/>
                                      </w:rPr>
                                      <w:t> </w:t>
                                    </w:r>
                                  </w:p>
                                </w:tc>
                              </w:tr>
                            </w:tbl>
                            <w:p w:rsidR="0081646F" w:rsidRDefault="0081646F">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50"/>
                              </w:tblGrid>
                              <w:tr w:rsidR="0081646F">
                                <w:trPr>
                                  <w:trHeight w:val="15"/>
                                  <w:tblCellSpacing w:w="0" w:type="dxa"/>
                                </w:trPr>
                                <w:tc>
                                  <w:tcPr>
                                    <w:tcW w:w="0" w:type="auto"/>
                                    <w:shd w:val="clear" w:color="auto" w:fill="FFFFFF"/>
                                    <w:vAlign w:val="center"/>
                                    <w:hideMark/>
                                  </w:tcPr>
                                  <w:p w:rsidR="0081646F" w:rsidRDefault="0081646F">
                                    <w:pPr>
                                      <w:rPr>
                                        <w:rFonts w:eastAsia="Times New Roman"/>
                                        <w:sz w:val="20"/>
                                        <w:szCs w:val="20"/>
                                      </w:rPr>
                                    </w:pPr>
                                  </w:p>
                                </w:tc>
                              </w:tr>
                            </w:tbl>
                            <w:p w:rsidR="0081646F" w:rsidRDefault="0081646F"/>
                          </w:tc>
                        </w:tr>
                      </w:tbl>
                      <w:p w:rsidR="0081646F" w:rsidRDefault="0081646F">
                        <w:pPr>
                          <w:rPr>
                            <w:rFonts w:eastAsia="Times New Roman"/>
                            <w:sz w:val="20"/>
                            <w:szCs w:val="20"/>
                          </w:rPr>
                        </w:pPr>
                      </w:p>
                    </w:tc>
                    <w:tc>
                      <w:tcPr>
                        <w:tcW w:w="525" w:type="dxa"/>
                        <w:vMerge w:val="restart"/>
                        <w:shd w:val="clear" w:color="auto" w:fill="FFFFFF"/>
                        <w:vAlign w:val="center"/>
                        <w:hideMark/>
                      </w:tcPr>
                      <w:p w:rsidR="0081646F" w:rsidRDefault="0081646F">
                        <w:r>
                          <w:rPr>
                            <w:noProof/>
                          </w:rPr>
                          <w:lastRenderedPageBreak/>
                          <w:drawing>
                            <wp:inline distT="0" distB="0" distL="0" distR="0" wp14:anchorId="5F98440B" wp14:editId="6F774CEF">
                              <wp:extent cx="332740" cy="6985"/>
                              <wp:effectExtent l="0" t="0" r="0" b="0"/>
                              <wp:docPr id="3" name="Imagem 3"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 cy="6985"/>
                                      </a:xfrm>
                                      <a:prstGeom prst="rect">
                                        <a:avLst/>
                                      </a:prstGeom>
                                      <a:noFill/>
                                      <a:ln>
                                        <a:noFill/>
                                      </a:ln>
                                    </pic:spPr>
                                  </pic:pic>
                                </a:graphicData>
                              </a:graphic>
                            </wp:inline>
                          </w:drawing>
                        </w:r>
                      </w:p>
                    </w:tc>
                  </w:tr>
                  <w:tr w:rsidR="0081646F">
                    <w:trPr>
                      <w:tblCellSpacing w:w="0" w:type="dxa"/>
                    </w:trPr>
                    <w:tc>
                      <w:tcPr>
                        <w:tcW w:w="0" w:type="auto"/>
                        <w:vMerge/>
                        <w:vAlign w:val="center"/>
                        <w:hideMark/>
                      </w:tcPr>
                      <w:p w:rsidR="0081646F" w:rsidRDefault="0081646F"/>
                    </w:tc>
                    <w:tc>
                      <w:tcPr>
                        <w:tcW w:w="0" w:type="auto"/>
                        <w:vAlign w:val="center"/>
                        <w:hideMark/>
                      </w:tcPr>
                      <w:p w:rsidR="0081646F" w:rsidRDefault="0081646F">
                        <w:pPr>
                          <w:rPr>
                            <w:rFonts w:eastAsia="Times New Roman"/>
                            <w:sz w:val="20"/>
                            <w:szCs w:val="20"/>
                          </w:rPr>
                        </w:pPr>
                      </w:p>
                    </w:tc>
                    <w:tc>
                      <w:tcPr>
                        <w:tcW w:w="0" w:type="auto"/>
                        <w:vMerge/>
                        <w:vAlign w:val="center"/>
                        <w:hideMark/>
                      </w:tcPr>
                      <w:p w:rsidR="0081646F" w:rsidRDefault="0081646F"/>
                    </w:tc>
                  </w:tr>
                </w:tbl>
                <w:p w:rsidR="0081646F" w:rsidRDefault="0081646F">
                  <w:pPr>
                    <w:rPr>
                      <w:rFonts w:eastAsia="Times New Roman"/>
                      <w:sz w:val="20"/>
                      <w:szCs w:val="20"/>
                    </w:rPr>
                  </w:pPr>
                </w:p>
              </w:tc>
            </w:tr>
            <w:tr w:rsidR="0081646F">
              <w:trPr>
                <w:tblCellSpacing w:w="0" w:type="dxa"/>
                <w:jc w:val="center"/>
              </w:trPr>
              <w:tc>
                <w:tcPr>
                  <w:tcW w:w="5000" w:type="pct"/>
                  <w:hideMark/>
                </w:tcPr>
                <w:p w:rsidR="0081646F" w:rsidRDefault="0081646F">
                  <w:pPr>
                    <w:rPr>
                      <w:rFonts w:eastAsia="Times New Roman"/>
                      <w:sz w:val="20"/>
                      <w:szCs w:val="20"/>
                    </w:rPr>
                  </w:pPr>
                </w:p>
              </w:tc>
            </w:tr>
          </w:tbl>
          <w:p w:rsidR="0081646F" w:rsidRDefault="0081646F">
            <w:pPr>
              <w:jc w:val="center"/>
              <w:rPr>
                <w:rFonts w:eastAsia="Times New Roman"/>
                <w:sz w:val="20"/>
                <w:szCs w:val="20"/>
              </w:rPr>
            </w:pPr>
          </w:p>
        </w:tc>
      </w:tr>
    </w:tbl>
    <w:p w:rsidR="00906687" w:rsidRDefault="00906687">
      <w:bookmarkStart w:id="0" w:name="_GoBack"/>
      <w:bookmarkEnd w:id="0"/>
    </w:p>
    <w:sectPr w:rsidR="00906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6F"/>
    <w:rsid w:val="0081646F"/>
    <w:rsid w:val="009066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6F"/>
    <w:pPr>
      <w:spacing w:after="0" w:line="240" w:lineRule="auto"/>
    </w:pPr>
    <w:rPr>
      <w:rFonts w:ascii="Times New Roman" w:eastAsia="Calibri"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81646F"/>
    <w:rPr>
      <w:color w:val="0000FF"/>
      <w:u w:val="single"/>
    </w:rPr>
  </w:style>
  <w:style w:type="paragraph" w:styleId="NormalWeb">
    <w:name w:val="Normal (Web)"/>
    <w:basedOn w:val="Normal"/>
    <w:uiPriority w:val="99"/>
    <w:unhideWhenUsed/>
    <w:rsid w:val="0081646F"/>
    <w:pPr>
      <w:spacing w:before="100" w:beforeAutospacing="1" w:after="100" w:afterAutospacing="1"/>
    </w:pPr>
  </w:style>
  <w:style w:type="character" w:styleId="Forte">
    <w:name w:val="Strong"/>
    <w:basedOn w:val="Tipodeletrapredefinidodopargrafo"/>
    <w:uiPriority w:val="22"/>
    <w:qFormat/>
    <w:rsid w:val="0081646F"/>
    <w:rPr>
      <w:b/>
      <w:bCs/>
    </w:rPr>
  </w:style>
  <w:style w:type="paragraph" w:styleId="Textodebalo">
    <w:name w:val="Balloon Text"/>
    <w:basedOn w:val="Normal"/>
    <w:link w:val="TextodebaloCarcter"/>
    <w:uiPriority w:val="99"/>
    <w:semiHidden/>
    <w:unhideWhenUsed/>
    <w:rsid w:val="0081646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1646F"/>
    <w:rPr>
      <w:rFonts w:ascii="Tahoma" w:eastAsia="Calibri"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6F"/>
    <w:pPr>
      <w:spacing w:after="0" w:line="240" w:lineRule="auto"/>
    </w:pPr>
    <w:rPr>
      <w:rFonts w:ascii="Times New Roman" w:eastAsia="Calibri"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81646F"/>
    <w:rPr>
      <w:color w:val="0000FF"/>
      <w:u w:val="single"/>
    </w:rPr>
  </w:style>
  <w:style w:type="paragraph" w:styleId="NormalWeb">
    <w:name w:val="Normal (Web)"/>
    <w:basedOn w:val="Normal"/>
    <w:uiPriority w:val="99"/>
    <w:unhideWhenUsed/>
    <w:rsid w:val="0081646F"/>
    <w:pPr>
      <w:spacing w:before="100" w:beforeAutospacing="1" w:after="100" w:afterAutospacing="1"/>
    </w:pPr>
  </w:style>
  <w:style w:type="character" w:styleId="Forte">
    <w:name w:val="Strong"/>
    <w:basedOn w:val="Tipodeletrapredefinidodopargrafo"/>
    <w:uiPriority w:val="22"/>
    <w:qFormat/>
    <w:rsid w:val="0081646F"/>
    <w:rPr>
      <w:b/>
      <w:bCs/>
    </w:rPr>
  </w:style>
  <w:style w:type="paragraph" w:styleId="Textodebalo">
    <w:name w:val="Balloon Text"/>
    <w:basedOn w:val="Normal"/>
    <w:link w:val="TextodebaloCarcter"/>
    <w:uiPriority w:val="99"/>
    <w:semiHidden/>
    <w:unhideWhenUsed/>
    <w:rsid w:val="0081646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1646F"/>
    <w:rPr>
      <w:rFonts w:ascii="Tahoma" w:eastAsia="Calibri"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a.lima@ftl-advogados.com" TargetMode="External"/><Relationship Id="rId3" Type="http://schemas.openxmlformats.org/officeDocument/2006/relationships/settings" Target="settings.xml"/><Relationship Id="rId7" Type="http://schemas.openxmlformats.org/officeDocument/2006/relationships/hyperlink" Target="mailto:tiago.graca@cms-rp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image" Target="https://mlsvc01-prod.s3.amazonaws.com/ea7dda2f001/e91e8871-5b5d-4bfb-95d9-cd36f348bb76.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629</Words>
  <Characters>3399</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Ferreira</dc:creator>
  <cp:lastModifiedBy>Alexandra Ferreira</cp:lastModifiedBy>
  <cp:revision>1</cp:revision>
  <dcterms:created xsi:type="dcterms:W3CDTF">2017-04-11T10:54:00Z</dcterms:created>
  <dcterms:modified xsi:type="dcterms:W3CDTF">2017-04-11T11:01:00Z</dcterms:modified>
</cp:coreProperties>
</file>